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F6A4" w14:textId="0C56E08C" w:rsidR="00DF241C" w:rsidRPr="007F1283" w:rsidRDefault="005F4220" w:rsidP="007D4F25">
      <w:pPr>
        <w:jc w:val="center"/>
        <w:rPr>
          <w:b/>
          <w:bCs/>
          <w:color w:val="000000" w:themeColor="text1"/>
          <w:sz w:val="28"/>
          <w:szCs w:val="28"/>
          <w:lang w:val="mi-NZ"/>
        </w:rPr>
      </w:pPr>
      <w:r w:rsidRPr="007F1283">
        <w:rPr>
          <w:b/>
          <w:bCs/>
          <w:color w:val="000000" w:themeColor="text1"/>
          <w:sz w:val="28"/>
          <w:szCs w:val="28"/>
          <w:lang w:val="mi-NZ"/>
        </w:rPr>
        <w:t>THINKING BIBLICALLY ACROSS THE SPECTRUM</w:t>
      </w:r>
    </w:p>
    <w:p w14:paraId="7BF12543" w14:textId="175AFD3E" w:rsidR="005F4220" w:rsidRPr="007F1283" w:rsidRDefault="005F4220" w:rsidP="007D4F25">
      <w:pPr>
        <w:jc w:val="center"/>
        <w:rPr>
          <w:color w:val="000000" w:themeColor="text1"/>
          <w:lang w:val="mi-NZ"/>
        </w:rPr>
      </w:pPr>
      <w:r w:rsidRPr="007F1283">
        <w:rPr>
          <w:color w:val="000000" w:themeColor="text1"/>
          <w:lang w:val="mi-NZ"/>
        </w:rPr>
        <w:t>A Statement prepared by the Doctrine Core Group</w:t>
      </w:r>
      <w:r w:rsidR="007F1283">
        <w:rPr>
          <w:color w:val="000000" w:themeColor="text1"/>
          <w:lang w:val="mi-NZ"/>
        </w:rPr>
        <w:t>, PCANZ</w:t>
      </w:r>
    </w:p>
    <w:p w14:paraId="1F0C3D22" w14:textId="77777777" w:rsidR="005F4220" w:rsidRPr="007F1283" w:rsidRDefault="005F4220" w:rsidP="004B05F0">
      <w:pPr>
        <w:rPr>
          <w:b/>
          <w:bCs/>
          <w:color w:val="000000" w:themeColor="text1"/>
          <w:lang w:val="mi-NZ"/>
        </w:rPr>
      </w:pPr>
    </w:p>
    <w:p w14:paraId="10DDAE58" w14:textId="0330B906" w:rsidR="005F5CFE" w:rsidRPr="007F1283" w:rsidRDefault="005F5CFE" w:rsidP="007D4F25">
      <w:pPr>
        <w:pStyle w:val="NormalWeb"/>
        <w:jc w:val="center"/>
        <w:rPr>
          <w:rFonts w:asciiTheme="minorHAnsi" w:hAnsiTheme="minorHAnsi" w:cstheme="minorHAnsi"/>
          <w:color w:val="000000" w:themeColor="text1"/>
        </w:rPr>
      </w:pPr>
      <w:r w:rsidRPr="007F1283">
        <w:rPr>
          <w:rFonts w:asciiTheme="minorHAnsi" w:hAnsiTheme="minorHAnsi" w:cstheme="minorHAnsi"/>
          <w:color w:val="000000" w:themeColor="text1"/>
        </w:rPr>
        <w:t>For learning about wisdom and instruction,</w:t>
      </w:r>
      <w:r w:rsidRPr="007F1283">
        <w:rPr>
          <w:rFonts w:asciiTheme="minorHAnsi" w:hAnsiTheme="minorHAnsi" w:cstheme="minorHAnsi"/>
          <w:color w:val="000000" w:themeColor="text1"/>
        </w:rPr>
        <w:br/>
        <w:t xml:space="preserve">   for understanding words of insight, </w:t>
      </w:r>
      <w:r w:rsidRPr="007F1283">
        <w:rPr>
          <w:rFonts w:asciiTheme="minorHAnsi" w:hAnsiTheme="minorHAnsi" w:cstheme="minorHAnsi"/>
          <w:color w:val="000000" w:themeColor="text1"/>
        </w:rPr>
        <w:br/>
        <w:t>for gaining instruction in wise dealing,</w:t>
      </w:r>
      <w:r w:rsidRPr="007F1283">
        <w:rPr>
          <w:rFonts w:asciiTheme="minorHAnsi" w:hAnsiTheme="minorHAnsi" w:cstheme="minorHAnsi"/>
          <w:color w:val="000000" w:themeColor="text1"/>
        </w:rPr>
        <w:br/>
        <w:t xml:space="preserve">   righteousness, justice, and equity; </w:t>
      </w:r>
      <w:r w:rsidRPr="007F1283">
        <w:rPr>
          <w:rFonts w:asciiTheme="minorHAnsi" w:hAnsiTheme="minorHAnsi" w:cstheme="minorHAnsi"/>
          <w:color w:val="000000" w:themeColor="text1"/>
        </w:rPr>
        <w:br/>
        <w:t>to teach shrewdness to the simple,</w:t>
      </w:r>
      <w:r w:rsidRPr="007F1283">
        <w:rPr>
          <w:rFonts w:asciiTheme="minorHAnsi" w:hAnsiTheme="minorHAnsi" w:cstheme="minorHAnsi"/>
          <w:color w:val="000000" w:themeColor="text1"/>
        </w:rPr>
        <w:br/>
        <w:t xml:space="preserve">   knowledge and prudence to the young— </w:t>
      </w:r>
      <w:r w:rsidRPr="007F1283">
        <w:rPr>
          <w:rFonts w:asciiTheme="minorHAnsi" w:hAnsiTheme="minorHAnsi" w:cstheme="minorHAnsi"/>
          <w:color w:val="000000" w:themeColor="text1"/>
        </w:rPr>
        <w:br/>
        <w:t>let the wise also hear and gain in learning,</w:t>
      </w:r>
      <w:r w:rsidRPr="007F1283">
        <w:rPr>
          <w:rFonts w:asciiTheme="minorHAnsi" w:hAnsiTheme="minorHAnsi" w:cstheme="minorHAnsi"/>
          <w:color w:val="000000" w:themeColor="text1"/>
        </w:rPr>
        <w:br/>
        <w:t xml:space="preserve">   and the discerning acquire skill, </w:t>
      </w:r>
      <w:r w:rsidRPr="007F1283">
        <w:rPr>
          <w:rFonts w:asciiTheme="minorHAnsi" w:hAnsiTheme="minorHAnsi" w:cstheme="minorHAnsi"/>
          <w:color w:val="000000" w:themeColor="text1"/>
        </w:rPr>
        <w:br/>
        <w:t>to understand a proverb and a figure,</w:t>
      </w:r>
      <w:r w:rsidRPr="007F1283">
        <w:rPr>
          <w:rFonts w:asciiTheme="minorHAnsi" w:hAnsiTheme="minorHAnsi" w:cstheme="minorHAnsi"/>
          <w:color w:val="000000" w:themeColor="text1"/>
        </w:rPr>
        <w:br/>
        <w:t>   the words of the wise and their riddles.</w:t>
      </w:r>
      <w:r w:rsidRPr="007F1283">
        <w:rPr>
          <w:rFonts w:asciiTheme="minorHAnsi" w:hAnsiTheme="minorHAnsi" w:cstheme="minorHAnsi"/>
          <w:color w:val="000000" w:themeColor="text1"/>
        </w:rPr>
        <w:br/>
        <w:t xml:space="preserve">The fear of the </w:t>
      </w:r>
      <w:r w:rsidRPr="007F1283">
        <w:rPr>
          <w:rStyle w:val="sc"/>
          <w:rFonts w:asciiTheme="minorHAnsi" w:hAnsiTheme="minorHAnsi" w:cstheme="minorHAnsi"/>
          <w:color w:val="000000" w:themeColor="text1"/>
        </w:rPr>
        <w:t>Lord</w:t>
      </w:r>
      <w:r w:rsidRPr="007F1283">
        <w:rPr>
          <w:rFonts w:asciiTheme="minorHAnsi" w:hAnsiTheme="minorHAnsi" w:cstheme="minorHAnsi"/>
          <w:color w:val="000000" w:themeColor="text1"/>
        </w:rPr>
        <w:t xml:space="preserve"> is the beginning of knowledge;</w:t>
      </w:r>
      <w:r w:rsidRPr="007F1283">
        <w:rPr>
          <w:rFonts w:asciiTheme="minorHAnsi" w:hAnsiTheme="minorHAnsi" w:cstheme="minorHAnsi"/>
          <w:color w:val="000000" w:themeColor="text1"/>
        </w:rPr>
        <w:br/>
        <w:t>   fools despise wisdom and instruction.</w:t>
      </w:r>
    </w:p>
    <w:p w14:paraId="7F36D698" w14:textId="4CD151E0" w:rsidR="005F5CFE" w:rsidRPr="007F1283" w:rsidRDefault="005F5CFE" w:rsidP="007D4F25">
      <w:pPr>
        <w:pStyle w:val="NormalWeb"/>
        <w:jc w:val="center"/>
        <w:rPr>
          <w:rFonts w:asciiTheme="minorHAnsi" w:hAnsiTheme="minorHAnsi" w:cstheme="minorHAnsi"/>
          <w:color w:val="000000" w:themeColor="text1"/>
        </w:rPr>
      </w:pPr>
      <w:r w:rsidRPr="007F1283">
        <w:rPr>
          <w:rFonts w:asciiTheme="minorHAnsi" w:hAnsiTheme="minorHAnsi" w:cstheme="minorHAnsi"/>
          <w:color w:val="000000" w:themeColor="text1"/>
        </w:rPr>
        <w:t>(Proverbs 1:2-7)</w:t>
      </w:r>
    </w:p>
    <w:p w14:paraId="3A56F453" w14:textId="77777777" w:rsidR="005F5CFE" w:rsidRPr="007F1283" w:rsidRDefault="005F5CFE" w:rsidP="007D4F25">
      <w:pPr>
        <w:jc w:val="both"/>
        <w:rPr>
          <w:b/>
          <w:bCs/>
          <w:color w:val="000000" w:themeColor="text1"/>
          <w:lang w:val="mi-NZ"/>
        </w:rPr>
      </w:pPr>
    </w:p>
    <w:p w14:paraId="48D7350C" w14:textId="6DCE4994" w:rsidR="005F4220" w:rsidRPr="007F1283" w:rsidRDefault="007D4F25" w:rsidP="007D4F25">
      <w:pPr>
        <w:jc w:val="center"/>
        <w:rPr>
          <w:b/>
          <w:bCs/>
          <w:color w:val="000000" w:themeColor="text1"/>
          <w:lang w:val="mi-NZ"/>
        </w:rPr>
      </w:pPr>
      <w:r w:rsidRPr="007F1283">
        <w:rPr>
          <w:b/>
          <w:bCs/>
          <w:color w:val="000000" w:themeColor="text1"/>
          <w:lang w:val="mi-NZ"/>
        </w:rPr>
        <w:t>INTRODUCTION</w:t>
      </w:r>
    </w:p>
    <w:p w14:paraId="03054833" w14:textId="7CAF71B0" w:rsidR="005F4220" w:rsidRPr="007F1283" w:rsidRDefault="005F4220" w:rsidP="007D4F25">
      <w:pPr>
        <w:jc w:val="both"/>
        <w:rPr>
          <w:b/>
          <w:bCs/>
          <w:color w:val="000000" w:themeColor="text1"/>
          <w:lang w:val="mi-NZ"/>
        </w:rPr>
      </w:pPr>
    </w:p>
    <w:p w14:paraId="71A970BC" w14:textId="1F1236A5" w:rsidR="005F4220" w:rsidRPr="007F1283" w:rsidRDefault="005F4220" w:rsidP="003F7775">
      <w:pPr>
        <w:jc w:val="both"/>
        <w:rPr>
          <w:color w:val="000000" w:themeColor="text1"/>
          <w:lang w:val="mi-NZ"/>
        </w:rPr>
      </w:pPr>
      <w:r w:rsidRPr="007F1283">
        <w:rPr>
          <w:color w:val="000000" w:themeColor="text1"/>
          <w:lang w:val="mi-NZ"/>
        </w:rPr>
        <w:t xml:space="preserve">That there is a wide spectrum of views in the church concerning matters of sexuality and faithful Christian discipleship is well known. </w:t>
      </w:r>
      <w:r w:rsidR="001662D9" w:rsidRPr="007F1283">
        <w:rPr>
          <w:color w:val="000000" w:themeColor="text1"/>
          <w:lang w:val="mi-NZ"/>
        </w:rPr>
        <w:t>Convictions are deeply held and car</w:t>
      </w:r>
      <w:r w:rsidR="005F5CFE" w:rsidRPr="007F1283">
        <w:rPr>
          <w:color w:val="000000" w:themeColor="text1"/>
          <w:lang w:val="mi-NZ"/>
        </w:rPr>
        <w:t>e</w:t>
      </w:r>
      <w:r w:rsidR="001662D9" w:rsidRPr="007F1283">
        <w:rPr>
          <w:color w:val="000000" w:themeColor="text1"/>
          <w:lang w:val="mi-NZ"/>
        </w:rPr>
        <w:t xml:space="preserve">fully thought through across the spectrum of belief and it can be difficult sometimes to understand how </w:t>
      </w:r>
      <w:r w:rsidR="005F5CFE" w:rsidRPr="007F1283">
        <w:rPr>
          <w:color w:val="000000" w:themeColor="text1"/>
          <w:lang w:val="mi-NZ"/>
        </w:rPr>
        <w:t>Chri</w:t>
      </w:r>
      <w:r w:rsidR="007556DD" w:rsidRPr="007F1283">
        <w:rPr>
          <w:color w:val="000000" w:themeColor="text1"/>
          <w:lang w:val="mi-NZ"/>
        </w:rPr>
        <w:t>st</w:t>
      </w:r>
      <w:r w:rsidR="005F5CFE" w:rsidRPr="007F1283">
        <w:rPr>
          <w:color w:val="000000" w:themeColor="text1"/>
          <w:lang w:val="mi-NZ"/>
        </w:rPr>
        <w:t>ians</w:t>
      </w:r>
      <w:r w:rsidR="001662D9" w:rsidRPr="007F1283">
        <w:rPr>
          <w:color w:val="000000" w:themeColor="text1"/>
          <w:lang w:val="mi-NZ"/>
        </w:rPr>
        <w:t xml:space="preserve"> holding views </w:t>
      </w:r>
      <w:r w:rsidR="005F5CFE" w:rsidRPr="007F1283">
        <w:rPr>
          <w:color w:val="000000" w:themeColor="text1"/>
          <w:lang w:val="mi-NZ"/>
        </w:rPr>
        <w:t>tha</w:t>
      </w:r>
      <w:r w:rsidR="007556DD" w:rsidRPr="007F1283">
        <w:rPr>
          <w:color w:val="000000" w:themeColor="text1"/>
          <w:lang w:val="mi-NZ"/>
        </w:rPr>
        <w:t xml:space="preserve">t differ from </w:t>
      </w:r>
      <w:r w:rsidR="005F5CFE" w:rsidRPr="007F1283">
        <w:rPr>
          <w:color w:val="000000" w:themeColor="text1"/>
          <w:lang w:val="mi-NZ"/>
        </w:rPr>
        <w:t xml:space="preserve">our own </w:t>
      </w:r>
      <w:r w:rsidR="001662D9" w:rsidRPr="007F1283">
        <w:rPr>
          <w:color w:val="000000" w:themeColor="text1"/>
          <w:lang w:val="mi-NZ"/>
        </w:rPr>
        <w:t xml:space="preserve">can fail to </w:t>
      </w:r>
      <w:r w:rsidR="001A7372" w:rsidRPr="007F1283">
        <w:rPr>
          <w:color w:val="000000" w:themeColor="text1"/>
          <w:lang w:val="mi-NZ"/>
        </w:rPr>
        <w:t>uphold</w:t>
      </w:r>
      <w:r w:rsidR="001662D9" w:rsidRPr="007F1283">
        <w:rPr>
          <w:color w:val="000000" w:themeColor="text1"/>
          <w:lang w:val="mi-NZ"/>
        </w:rPr>
        <w:t xml:space="preserve"> a particular biblical truth or </w:t>
      </w:r>
      <w:r w:rsidR="001A7372" w:rsidRPr="007F1283">
        <w:rPr>
          <w:color w:val="000000" w:themeColor="text1"/>
          <w:lang w:val="mi-NZ"/>
        </w:rPr>
        <w:t>to</w:t>
      </w:r>
      <w:r w:rsidR="001662D9" w:rsidRPr="007F1283">
        <w:rPr>
          <w:color w:val="000000" w:themeColor="text1"/>
          <w:lang w:val="mi-NZ"/>
        </w:rPr>
        <w:t xml:space="preserve"> </w:t>
      </w:r>
      <w:r w:rsidR="001A7372" w:rsidRPr="007F1283">
        <w:rPr>
          <w:color w:val="000000" w:themeColor="text1"/>
          <w:lang w:val="mi-NZ"/>
        </w:rPr>
        <w:t>recognise</w:t>
      </w:r>
      <w:r w:rsidR="001662D9" w:rsidRPr="007F1283">
        <w:rPr>
          <w:color w:val="000000" w:themeColor="text1"/>
          <w:lang w:val="mi-NZ"/>
        </w:rPr>
        <w:t xml:space="preserve"> a theological </w:t>
      </w:r>
      <w:r w:rsidR="001A7372" w:rsidRPr="007F1283">
        <w:rPr>
          <w:color w:val="000000" w:themeColor="text1"/>
          <w:lang w:val="mi-NZ"/>
        </w:rPr>
        <w:t>principle</w:t>
      </w:r>
      <w:r w:rsidR="001662D9" w:rsidRPr="007F1283">
        <w:rPr>
          <w:color w:val="000000" w:themeColor="text1"/>
          <w:lang w:val="mi-NZ"/>
        </w:rPr>
        <w:t xml:space="preserve"> that </w:t>
      </w:r>
      <w:r w:rsidR="005F5CFE" w:rsidRPr="007F1283">
        <w:rPr>
          <w:color w:val="000000" w:themeColor="text1"/>
          <w:lang w:val="mi-NZ"/>
        </w:rPr>
        <w:t>seems to us to be</w:t>
      </w:r>
      <w:r w:rsidR="001662D9" w:rsidRPr="007F1283">
        <w:rPr>
          <w:color w:val="000000" w:themeColor="text1"/>
          <w:lang w:val="mi-NZ"/>
        </w:rPr>
        <w:t xml:space="preserve"> </w:t>
      </w:r>
      <w:r w:rsidR="001A7372" w:rsidRPr="007F1283">
        <w:rPr>
          <w:color w:val="000000" w:themeColor="text1"/>
          <w:lang w:val="mi-NZ"/>
        </w:rPr>
        <w:t xml:space="preserve">of fundamental importance. </w:t>
      </w:r>
    </w:p>
    <w:p w14:paraId="23E1097C" w14:textId="0B3593AC" w:rsidR="005F5CFE" w:rsidRPr="007F1283" w:rsidRDefault="005F5CFE" w:rsidP="007D4F25">
      <w:pPr>
        <w:jc w:val="both"/>
        <w:rPr>
          <w:color w:val="000000" w:themeColor="text1"/>
          <w:lang w:val="mi-NZ"/>
        </w:rPr>
      </w:pPr>
    </w:p>
    <w:p w14:paraId="216ED4C0" w14:textId="7AFC8041" w:rsidR="005F5CFE" w:rsidRPr="007F1283" w:rsidRDefault="00237099" w:rsidP="007D4F25">
      <w:pPr>
        <w:jc w:val="both"/>
        <w:rPr>
          <w:color w:val="000000" w:themeColor="text1"/>
          <w:lang w:val="mi-NZ"/>
        </w:rPr>
      </w:pPr>
      <w:r w:rsidRPr="007F1283">
        <w:rPr>
          <w:color w:val="000000" w:themeColor="text1"/>
          <w:lang w:val="mi-NZ"/>
        </w:rPr>
        <w:t xml:space="preserve">The author of the book of Proverbs supposes that the attainment of wisdom and understanding takes time. It requires discernment and skill; it requires attentiveness, careful listening, and, above all, fear of </w:t>
      </w:r>
      <w:r w:rsidR="007556DD" w:rsidRPr="007F1283">
        <w:rPr>
          <w:color w:val="000000" w:themeColor="text1"/>
          <w:lang w:val="mi-NZ"/>
        </w:rPr>
        <w:t>or</w:t>
      </w:r>
      <w:r w:rsidRPr="007F1283">
        <w:rPr>
          <w:color w:val="000000" w:themeColor="text1"/>
          <w:lang w:val="mi-NZ"/>
        </w:rPr>
        <w:t xml:space="preserve"> reverence for the Lord. </w:t>
      </w:r>
      <w:r w:rsidR="007D4F25" w:rsidRPr="007F1283">
        <w:rPr>
          <w:color w:val="000000" w:themeColor="text1"/>
          <w:lang w:val="mi-NZ"/>
        </w:rPr>
        <w:t>None</w:t>
      </w:r>
      <w:r w:rsidRPr="007F1283">
        <w:rPr>
          <w:color w:val="000000" w:themeColor="text1"/>
          <w:lang w:val="mi-NZ"/>
        </w:rPr>
        <w:t xml:space="preserve"> of us can claim that we have concluded the process of attaining wisdom. There is on ongoing need for respectful </w:t>
      </w:r>
      <w:r w:rsidR="007556DD" w:rsidRPr="007F1283">
        <w:rPr>
          <w:color w:val="000000" w:themeColor="text1"/>
          <w:lang w:val="mi-NZ"/>
        </w:rPr>
        <w:t xml:space="preserve">dialogue and for prayerful </w:t>
      </w:r>
      <w:r w:rsidRPr="007F1283">
        <w:rPr>
          <w:color w:val="000000" w:themeColor="text1"/>
          <w:lang w:val="mi-NZ"/>
        </w:rPr>
        <w:t xml:space="preserve">attentiveness to God as we seek wisdom </w:t>
      </w:r>
      <w:r w:rsidR="007D4F25" w:rsidRPr="007F1283">
        <w:rPr>
          <w:color w:val="000000" w:themeColor="text1"/>
          <w:lang w:val="mi-NZ"/>
        </w:rPr>
        <w:t xml:space="preserve">from Scripture and from one another </w:t>
      </w:r>
      <w:r w:rsidRPr="007F1283">
        <w:rPr>
          <w:color w:val="000000" w:themeColor="text1"/>
          <w:lang w:val="mi-NZ"/>
        </w:rPr>
        <w:t>in the matter of sexuality and Christian discipleship.</w:t>
      </w:r>
      <w:r w:rsidR="00B47F86" w:rsidRPr="007F1283">
        <w:rPr>
          <w:color w:val="000000" w:themeColor="text1"/>
          <w:lang w:val="mi-NZ"/>
        </w:rPr>
        <w:t xml:space="preserve"> </w:t>
      </w:r>
    </w:p>
    <w:p w14:paraId="1B1388C0" w14:textId="5771F4EE" w:rsidR="00DF6118" w:rsidRPr="007F1283" w:rsidRDefault="00DF6118" w:rsidP="007D4F25">
      <w:pPr>
        <w:jc w:val="both"/>
        <w:rPr>
          <w:rFonts w:eastAsia="Times New Roman" w:cstheme="minorHAnsi"/>
          <w:color w:val="000000" w:themeColor="text1"/>
          <w:lang w:eastAsia="en-GB"/>
        </w:rPr>
      </w:pPr>
    </w:p>
    <w:p w14:paraId="276415AA" w14:textId="23BEDA12" w:rsidR="00592173" w:rsidRPr="007F1283" w:rsidRDefault="00592173">
      <w:pPr>
        <w:jc w:val="both"/>
        <w:rPr>
          <w:rFonts w:eastAsia="Times New Roman" w:cstheme="minorHAnsi"/>
          <w:color w:val="000000" w:themeColor="text1"/>
          <w:lang w:eastAsia="en-GB"/>
        </w:rPr>
      </w:pPr>
      <w:r w:rsidRPr="007F1283">
        <w:rPr>
          <w:rFonts w:eastAsia="Times New Roman" w:cstheme="minorHAnsi"/>
          <w:color w:val="000000" w:themeColor="text1"/>
          <w:lang w:eastAsia="en-GB"/>
        </w:rPr>
        <w:t>Our Presbyterian polity allows for ‘freedom of opinion on matters that do not enter into the substance of the Reformed Faith</w:t>
      </w:r>
      <w:r w:rsidR="00A0770D" w:rsidRPr="007F1283">
        <w:rPr>
          <w:rFonts w:eastAsia="Times New Roman" w:cstheme="minorHAnsi"/>
          <w:color w:val="000000" w:themeColor="text1"/>
          <w:lang w:eastAsia="en-GB"/>
        </w:rPr>
        <w:t>’. Successive General Assemblies from 1965-71 defined the  ‘fundamental doctrines’ of the Christian Faith as those expressed in the Apostles’ Creed.</w:t>
      </w:r>
      <w:r w:rsidR="005F1A9F" w:rsidRPr="007F1283">
        <w:rPr>
          <w:rFonts w:eastAsia="Times New Roman" w:cstheme="minorHAnsi"/>
          <w:color w:val="000000" w:themeColor="text1"/>
          <w:lang w:eastAsia="en-GB"/>
        </w:rPr>
        <w:t xml:space="preserve"> They are the doctrine of the Trinity, the doctrine of Scripture and its authority, the doctrine of God as Creator and sovereign Lord, the doctrines of Christ</w:t>
      </w:r>
      <w:r w:rsidR="008279CC" w:rsidRPr="007F1283">
        <w:rPr>
          <w:rFonts w:eastAsia="Times New Roman" w:cstheme="minorHAnsi"/>
          <w:color w:val="000000" w:themeColor="text1"/>
          <w:lang w:eastAsia="en-GB"/>
        </w:rPr>
        <w:t xml:space="preserve"> and</w:t>
      </w:r>
      <w:r w:rsidR="005F1A9F" w:rsidRPr="007F1283">
        <w:rPr>
          <w:rFonts w:eastAsia="Times New Roman" w:cstheme="minorHAnsi"/>
          <w:color w:val="000000" w:themeColor="text1"/>
          <w:lang w:eastAsia="en-GB"/>
        </w:rPr>
        <w:t xml:space="preserve"> his resurrection, </w:t>
      </w:r>
      <w:r w:rsidR="008279CC" w:rsidRPr="007F1283">
        <w:rPr>
          <w:rFonts w:eastAsia="Times New Roman" w:cstheme="minorHAnsi"/>
          <w:color w:val="000000" w:themeColor="text1"/>
          <w:lang w:eastAsia="en-GB"/>
        </w:rPr>
        <w:t>the doctrine</w:t>
      </w:r>
      <w:r w:rsidR="00B82E06" w:rsidRPr="007F1283">
        <w:rPr>
          <w:rFonts w:eastAsia="Times New Roman" w:cstheme="minorHAnsi"/>
          <w:color w:val="000000" w:themeColor="text1"/>
          <w:lang w:eastAsia="en-GB"/>
        </w:rPr>
        <w:t>s</w:t>
      </w:r>
      <w:r w:rsidR="008279CC" w:rsidRPr="007F1283">
        <w:rPr>
          <w:rFonts w:eastAsia="Times New Roman" w:cstheme="minorHAnsi"/>
          <w:color w:val="000000" w:themeColor="text1"/>
          <w:lang w:eastAsia="en-GB"/>
        </w:rPr>
        <w:t xml:space="preserve"> of divine </w:t>
      </w:r>
      <w:r w:rsidR="005F1A9F" w:rsidRPr="007F1283">
        <w:rPr>
          <w:rFonts w:eastAsia="Times New Roman" w:cstheme="minorHAnsi"/>
          <w:color w:val="000000" w:themeColor="text1"/>
          <w:lang w:eastAsia="en-GB"/>
        </w:rPr>
        <w:t>judgement</w:t>
      </w:r>
      <w:r w:rsidR="008279CC" w:rsidRPr="007F1283">
        <w:rPr>
          <w:rFonts w:eastAsia="Times New Roman" w:cstheme="minorHAnsi"/>
          <w:color w:val="000000" w:themeColor="text1"/>
          <w:lang w:eastAsia="en-GB"/>
        </w:rPr>
        <w:t xml:space="preserve">, eternal life, and the </w:t>
      </w:r>
      <w:proofErr w:type="spellStart"/>
      <w:r w:rsidR="008279CC" w:rsidRPr="007F1283">
        <w:rPr>
          <w:rFonts w:eastAsia="Times New Roman" w:cstheme="minorHAnsi"/>
          <w:color w:val="000000" w:themeColor="text1"/>
          <w:lang w:eastAsia="en-GB"/>
        </w:rPr>
        <w:t>fulfillment</w:t>
      </w:r>
      <w:proofErr w:type="spellEnd"/>
      <w:r w:rsidR="008279CC" w:rsidRPr="007F1283">
        <w:rPr>
          <w:rFonts w:eastAsia="Times New Roman" w:cstheme="minorHAnsi"/>
          <w:color w:val="000000" w:themeColor="text1"/>
          <w:lang w:eastAsia="en-GB"/>
        </w:rPr>
        <w:t xml:space="preserve"> of all things in Christ</w:t>
      </w:r>
      <w:r w:rsidR="005F1A9F" w:rsidRPr="007F1283">
        <w:rPr>
          <w:rFonts w:eastAsia="Times New Roman" w:cstheme="minorHAnsi"/>
          <w:color w:val="000000" w:themeColor="text1"/>
          <w:lang w:eastAsia="en-GB"/>
        </w:rPr>
        <w:t xml:space="preserve">. </w:t>
      </w:r>
    </w:p>
    <w:p w14:paraId="231E72C6" w14:textId="77777777" w:rsidR="00592173" w:rsidRPr="007F1283" w:rsidRDefault="00592173" w:rsidP="00A426F8">
      <w:pPr>
        <w:jc w:val="both"/>
        <w:rPr>
          <w:rFonts w:eastAsia="Times New Roman" w:cstheme="minorHAnsi"/>
          <w:color w:val="000000" w:themeColor="text1"/>
          <w:lang w:eastAsia="en-GB"/>
        </w:rPr>
      </w:pPr>
    </w:p>
    <w:p w14:paraId="27D2765B" w14:textId="47D4415B" w:rsidR="00DF6118" w:rsidRPr="007F1283" w:rsidRDefault="00DF6118" w:rsidP="00A426F8">
      <w:pPr>
        <w:jc w:val="both"/>
        <w:rPr>
          <w:rFonts w:eastAsia="Times New Roman" w:cstheme="minorHAnsi"/>
          <w:color w:val="000000" w:themeColor="text1"/>
          <w:lang w:eastAsia="en-GB"/>
        </w:rPr>
      </w:pPr>
      <w:r w:rsidRPr="007F1283">
        <w:rPr>
          <w:rFonts w:eastAsia="Times New Roman" w:cstheme="minorHAnsi"/>
          <w:color w:val="000000" w:themeColor="text1"/>
          <w:lang w:eastAsia="en-GB"/>
        </w:rPr>
        <w:t xml:space="preserve">In this paper prepared by the Doctrine Core Group we seek to encourage </w:t>
      </w:r>
      <w:r w:rsidR="005C10A5" w:rsidRPr="007F1283">
        <w:rPr>
          <w:rFonts w:eastAsia="Times New Roman" w:cstheme="minorHAnsi"/>
          <w:color w:val="000000" w:themeColor="text1"/>
          <w:lang w:eastAsia="en-GB"/>
        </w:rPr>
        <w:t xml:space="preserve">awareness of the fact that people holding views </w:t>
      </w:r>
      <w:r w:rsidR="00B82E06" w:rsidRPr="007F1283">
        <w:rPr>
          <w:rFonts w:eastAsia="Times New Roman" w:cstheme="minorHAnsi"/>
          <w:color w:val="000000" w:themeColor="text1"/>
          <w:lang w:eastAsia="en-GB"/>
        </w:rPr>
        <w:t xml:space="preserve">on sexuality and leadership </w:t>
      </w:r>
      <w:r w:rsidR="005C10A5" w:rsidRPr="007F1283">
        <w:rPr>
          <w:rFonts w:eastAsia="Times New Roman" w:cstheme="minorHAnsi"/>
          <w:color w:val="000000" w:themeColor="text1"/>
          <w:lang w:eastAsia="en-GB"/>
        </w:rPr>
        <w:t>tha</w:t>
      </w:r>
      <w:r w:rsidR="007556DD" w:rsidRPr="007F1283">
        <w:rPr>
          <w:rFonts w:eastAsia="Times New Roman" w:cstheme="minorHAnsi"/>
          <w:color w:val="000000" w:themeColor="text1"/>
          <w:lang w:eastAsia="en-GB"/>
        </w:rPr>
        <w:t>t differ from</w:t>
      </w:r>
      <w:r w:rsidR="005C10A5" w:rsidRPr="007F1283">
        <w:rPr>
          <w:rFonts w:eastAsia="Times New Roman" w:cstheme="minorHAnsi"/>
          <w:color w:val="000000" w:themeColor="text1"/>
          <w:lang w:eastAsia="en-GB"/>
        </w:rPr>
        <w:t xml:space="preserve"> our own are no less committed </w:t>
      </w:r>
      <w:r w:rsidR="007556DD" w:rsidRPr="007F1283">
        <w:rPr>
          <w:rFonts w:eastAsia="Times New Roman" w:cstheme="minorHAnsi"/>
          <w:color w:val="000000" w:themeColor="text1"/>
          <w:lang w:eastAsia="en-GB"/>
        </w:rPr>
        <w:t xml:space="preserve">than we are </w:t>
      </w:r>
      <w:r w:rsidR="005C10A5" w:rsidRPr="007F1283">
        <w:rPr>
          <w:rFonts w:eastAsia="Times New Roman" w:cstheme="minorHAnsi"/>
          <w:color w:val="000000" w:themeColor="text1"/>
          <w:lang w:eastAsia="en-GB"/>
        </w:rPr>
        <w:t xml:space="preserve">to </w:t>
      </w:r>
      <w:r w:rsidR="008279CC" w:rsidRPr="007F1283">
        <w:rPr>
          <w:rFonts w:eastAsia="Times New Roman" w:cstheme="minorHAnsi"/>
          <w:color w:val="000000" w:themeColor="text1"/>
          <w:lang w:eastAsia="en-GB"/>
        </w:rPr>
        <w:t xml:space="preserve">upholding these fundamental doctrines, including </w:t>
      </w:r>
      <w:r w:rsidR="007556DD" w:rsidRPr="007F1283">
        <w:rPr>
          <w:rFonts w:eastAsia="Times New Roman" w:cstheme="minorHAnsi"/>
          <w:color w:val="000000" w:themeColor="text1"/>
          <w:lang w:eastAsia="en-GB"/>
        </w:rPr>
        <w:t>Scripture</w:t>
      </w:r>
      <w:r w:rsidR="007D4F25" w:rsidRPr="007F1283">
        <w:rPr>
          <w:rFonts w:eastAsia="Times New Roman" w:cstheme="minorHAnsi"/>
          <w:color w:val="000000" w:themeColor="text1"/>
          <w:lang w:eastAsia="en-GB"/>
        </w:rPr>
        <w:t>’</w:t>
      </w:r>
      <w:r w:rsidR="007556DD" w:rsidRPr="007F1283">
        <w:rPr>
          <w:rFonts w:eastAsia="Times New Roman" w:cstheme="minorHAnsi"/>
          <w:color w:val="000000" w:themeColor="text1"/>
          <w:lang w:eastAsia="en-GB"/>
        </w:rPr>
        <w:t xml:space="preserve">s proper </w:t>
      </w:r>
      <w:r w:rsidR="005C10A5" w:rsidRPr="007F1283">
        <w:rPr>
          <w:rFonts w:eastAsia="Times New Roman" w:cstheme="minorHAnsi"/>
          <w:color w:val="000000" w:themeColor="text1"/>
          <w:lang w:eastAsia="en-GB"/>
        </w:rPr>
        <w:t xml:space="preserve">authority in all matters of faith and doctrine. </w:t>
      </w:r>
      <w:r w:rsidR="007556DD" w:rsidRPr="007F1283">
        <w:rPr>
          <w:rFonts w:eastAsia="Times New Roman" w:cstheme="minorHAnsi"/>
          <w:color w:val="000000" w:themeColor="text1"/>
          <w:lang w:eastAsia="en-GB"/>
        </w:rPr>
        <w:t>It is important to recognise that n</w:t>
      </w:r>
      <w:r w:rsidR="005C10A5" w:rsidRPr="007F1283">
        <w:rPr>
          <w:rFonts w:eastAsia="Times New Roman" w:cstheme="minorHAnsi"/>
          <w:color w:val="000000" w:themeColor="text1"/>
          <w:lang w:eastAsia="en-GB"/>
        </w:rPr>
        <w:t xml:space="preserve">one of us read Scripture </w:t>
      </w:r>
      <w:r w:rsidR="00ED67B6" w:rsidRPr="007F1283">
        <w:rPr>
          <w:rFonts w:eastAsia="Times New Roman" w:cstheme="minorHAnsi"/>
          <w:color w:val="000000" w:themeColor="text1"/>
          <w:lang w:eastAsia="en-GB"/>
        </w:rPr>
        <w:t>by</w:t>
      </w:r>
      <w:r w:rsidR="005C10A5" w:rsidRPr="007F1283">
        <w:rPr>
          <w:rFonts w:eastAsia="Times New Roman" w:cstheme="minorHAnsi"/>
          <w:color w:val="000000" w:themeColor="text1"/>
          <w:lang w:eastAsia="en-GB"/>
        </w:rPr>
        <w:t xml:space="preserve"> giving equal weight to every </w:t>
      </w:r>
      <w:r w:rsidR="007556DD" w:rsidRPr="007F1283">
        <w:rPr>
          <w:rFonts w:eastAsia="Times New Roman" w:cstheme="minorHAnsi"/>
          <w:color w:val="000000" w:themeColor="text1"/>
          <w:lang w:eastAsia="en-GB"/>
        </w:rPr>
        <w:t xml:space="preserve">passage or </w:t>
      </w:r>
      <w:r w:rsidR="005C10A5" w:rsidRPr="007F1283">
        <w:rPr>
          <w:rFonts w:eastAsia="Times New Roman" w:cstheme="minorHAnsi"/>
          <w:color w:val="000000" w:themeColor="text1"/>
          <w:lang w:eastAsia="en-GB"/>
        </w:rPr>
        <w:t xml:space="preserve">verse. Our reading is guided by </w:t>
      </w:r>
      <w:r w:rsidR="005C10A5" w:rsidRPr="007F1283">
        <w:rPr>
          <w:rFonts w:eastAsia="Times New Roman" w:cstheme="minorHAnsi"/>
          <w:color w:val="000000" w:themeColor="text1"/>
          <w:lang w:eastAsia="en-GB"/>
        </w:rPr>
        <w:lastRenderedPageBreak/>
        <w:t xml:space="preserve">particular conceptions of </w:t>
      </w:r>
      <w:r w:rsidR="00C07D10" w:rsidRPr="007F1283">
        <w:rPr>
          <w:rFonts w:eastAsia="Times New Roman" w:cstheme="minorHAnsi"/>
          <w:color w:val="000000" w:themeColor="text1"/>
          <w:lang w:eastAsia="en-GB"/>
        </w:rPr>
        <w:t>what constitutes the heart of the gospel. We give more or less weight to particular verses or passages in the light of broader theological convictions we hold about the person and work of Christ. We try to attend faithfully to Jesus</w:t>
      </w:r>
      <w:r w:rsidR="007D4F25" w:rsidRPr="007F1283">
        <w:rPr>
          <w:rFonts w:eastAsia="Times New Roman" w:cstheme="minorHAnsi"/>
          <w:color w:val="000000" w:themeColor="text1"/>
          <w:lang w:eastAsia="en-GB"/>
        </w:rPr>
        <w:t>’</w:t>
      </w:r>
      <w:r w:rsidR="00C07D10" w:rsidRPr="007F1283">
        <w:rPr>
          <w:rFonts w:eastAsia="Times New Roman" w:cstheme="minorHAnsi"/>
          <w:color w:val="000000" w:themeColor="text1"/>
          <w:lang w:eastAsia="en-GB"/>
        </w:rPr>
        <w:t xml:space="preserve"> own reading of Scripture </w:t>
      </w:r>
      <w:r w:rsidR="00436587" w:rsidRPr="007F1283">
        <w:rPr>
          <w:rFonts w:eastAsia="Times New Roman" w:cstheme="minorHAnsi"/>
          <w:color w:val="000000" w:themeColor="text1"/>
          <w:lang w:eastAsia="en-GB"/>
        </w:rPr>
        <w:t>and to listen carefully to the theological principles that emerge through his teaching and example.</w:t>
      </w:r>
      <w:r w:rsidR="00ED67B6" w:rsidRPr="007F1283">
        <w:rPr>
          <w:rFonts w:eastAsia="Times New Roman" w:cstheme="minorHAnsi"/>
          <w:color w:val="000000" w:themeColor="text1"/>
          <w:lang w:eastAsia="en-GB"/>
        </w:rPr>
        <w:t xml:space="preserve"> </w:t>
      </w:r>
      <w:r w:rsidR="00C07D10" w:rsidRPr="007F1283">
        <w:rPr>
          <w:rFonts w:eastAsia="Times New Roman" w:cstheme="minorHAnsi"/>
          <w:color w:val="000000" w:themeColor="text1"/>
          <w:lang w:eastAsia="en-GB"/>
        </w:rPr>
        <w:t xml:space="preserve">People across the spectrum seek to do this with integrity and with prayerful attentiveness to the Word of the Lord, but they come to different conclusions. </w:t>
      </w:r>
      <w:r w:rsidR="00ED67B6" w:rsidRPr="007F1283">
        <w:rPr>
          <w:rFonts w:eastAsia="Times New Roman" w:cstheme="minorHAnsi"/>
          <w:color w:val="000000" w:themeColor="text1"/>
          <w:lang w:eastAsia="en-GB"/>
        </w:rPr>
        <w:t>Our shared quest for wisdom and understanding remains a work in progress</w:t>
      </w:r>
    </w:p>
    <w:p w14:paraId="34C2CDD7" w14:textId="305F8A59" w:rsidR="00ED67B6" w:rsidRPr="007F1283" w:rsidRDefault="00ED67B6" w:rsidP="007D4F25">
      <w:pPr>
        <w:jc w:val="both"/>
        <w:rPr>
          <w:rFonts w:eastAsia="Times New Roman" w:cstheme="minorHAnsi"/>
          <w:color w:val="000000" w:themeColor="text1"/>
          <w:lang w:eastAsia="en-GB"/>
        </w:rPr>
      </w:pPr>
    </w:p>
    <w:p w14:paraId="5C4B4F9F" w14:textId="4CBE4BE0" w:rsidR="00ED67B6" w:rsidRPr="007F1283" w:rsidRDefault="00ED67B6" w:rsidP="007D4F25">
      <w:pPr>
        <w:jc w:val="both"/>
        <w:rPr>
          <w:color w:val="000000" w:themeColor="text1"/>
        </w:rPr>
      </w:pPr>
      <w:r w:rsidRPr="007F1283">
        <w:rPr>
          <w:color w:val="000000" w:themeColor="text1"/>
        </w:rPr>
        <w:t xml:space="preserve">The Doctrine Core Group presents below two statements outlining respectively a </w:t>
      </w:r>
      <w:r w:rsidR="007D4F25" w:rsidRPr="007F1283">
        <w:rPr>
          <w:color w:val="000000" w:themeColor="text1"/>
        </w:rPr>
        <w:t>‘</w:t>
      </w:r>
      <w:r w:rsidRPr="007F1283">
        <w:rPr>
          <w:color w:val="000000" w:themeColor="text1"/>
        </w:rPr>
        <w:t>conservative</w:t>
      </w:r>
      <w:r w:rsidR="007D4F25" w:rsidRPr="007F1283">
        <w:rPr>
          <w:color w:val="000000" w:themeColor="text1"/>
        </w:rPr>
        <w:t>’</w:t>
      </w:r>
      <w:r w:rsidRPr="007F1283">
        <w:rPr>
          <w:color w:val="000000" w:themeColor="text1"/>
        </w:rPr>
        <w:t xml:space="preserve"> and a </w:t>
      </w:r>
      <w:r w:rsidR="007D4F25" w:rsidRPr="007F1283">
        <w:rPr>
          <w:color w:val="000000" w:themeColor="text1"/>
        </w:rPr>
        <w:t>‘</w:t>
      </w:r>
      <w:r w:rsidRPr="007F1283">
        <w:rPr>
          <w:color w:val="000000" w:themeColor="text1"/>
        </w:rPr>
        <w:t>progressive</w:t>
      </w:r>
      <w:r w:rsidR="007D4F25" w:rsidRPr="007F1283">
        <w:rPr>
          <w:color w:val="000000" w:themeColor="text1"/>
        </w:rPr>
        <w:t>’</w:t>
      </w:r>
      <w:r w:rsidRPr="007F1283">
        <w:rPr>
          <w:color w:val="000000" w:themeColor="text1"/>
        </w:rPr>
        <w:t xml:space="preserve"> approach to the interpretation of Scripture </w:t>
      </w:r>
      <w:r w:rsidR="00436587" w:rsidRPr="007F1283">
        <w:rPr>
          <w:color w:val="000000" w:themeColor="text1"/>
        </w:rPr>
        <w:t xml:space="preserve">in the matter of sexuality. </w:t>
      </w:r>
      <w:r w:rsidR="00B96C9A" w:rsidRPr="007F1283">
        <w:rPr>
          <w:color w:val="000000" w:themeColor="text1"/>
        </w:rPr>
        <w:t xml:space="preserve">The two statements represent the perspectives of just two authors. They are not definitive or </w:t>
      </w:r>
      <w:r w:rsidR="00A426F8" w:rsidRPr="007F1283">
        <w:rPr>
          <w:color w:val="000000" w:themeColor="text1"/>
        </w:rPr>
        <w:t>exhaustive</w:t>
      </w:r>
      <w:r w:rsidR="00B96C9A" w:rsidRPr="007F1283">
        <w:rPr>
          <w:color w:val="000000" w:themeColor="text1"/>
        </w:rPr>
        <w:t xml:space="preserve"> statements of the conservative or the progressive </w:t>
      </w:r>
      <w:proofErr w:type="spellStart"/>
      <w:r w:rsidR="00B96C9A" w:rsidRPr="007F1283">
        <w:rPr>
          <w:color w:val="000000" w:themeColor="text1"/>
        </w:rPr>
        <w:t>positons</w:t>
      </w:r>
      <w:proofErr w:type="spellEnd"/>
      <w:r w:rsidR="00B96C9A" w:rsidRPr="007F1283">
        <w:rPr>
          <w:color w:val="000000" w:themeColor="text1"/>
        </w:rPr>
        <w:t xml:space="preserve">. Others </w:t>
      </w:r>
      <w:r w:rsidR="00A426F8" w:rsidRPr="007F1283">
        <w:rPr>
          <w:color w:val="000000" w:themeColor="text1"/>
        </w:rPr>
        <w:t>holding similar views may wish to</w:t>
      </w:r>
      <w:r w:rsidR="00B96C9A" w:rsidRPr="007F1283">
        <w:rPr>
          <w:color w:val="000000" w:themeColor="text1"/>
        </w:rPr>
        <w:t xml:space="preserve"> express </w:t>
      </w:r>
      <w:r w:rsidR="00A426F8" w:rsidRPr="007F1283">
        <w:rPr>
          <w:color w:val="000000" w:themeColor="text1"/>
        </w:rPr>
        <w:t>them</w:t>
      </w:r>
      <w:r w:rsidR="00B96C9A" w:rsidRPr="007F1283">
        <w:rPr>
          <w:color w:val="000000" w:themeColor="text1"/>
        </w:rPr>
        <w:t xml:space="preserve"> differently </w:t>
      </w:r>
      <w:r w:rsidR="00A426F8" w:rsidRPr="007F1283">
        <w:rPr>
          <w:color w:val="000000" w:themeColor="text1"/>
        </w:rPr>
        <w:t>or</w:t>
      </w:r>
      <w:r w:rsidR="00B96C9A" w:rsidRPr="007F1283">
        <w:rPr>
          <w:color w:val="000000" w:themeColor="text1"/>
        </w:rPr>
        <w:t xml:space="preserve"> to make very different points in </w:t>
      </w:r>
      <w:proofErr w:type="spellStart"/>
      <w:r w:rsidR="00B96C9A" w:rsidRPr="007F1283">
        <w:rPr>
          <w:color w:val="000000" w:themeColor="text1"/>
        </w:rPr>
        <w:t>defense</w:t>
      </w:r>
      <w:proofErr w:type="spellEnd"/>
      <w:r w:rsidR="00B96C9A" w:rsidRPr="007F1283">
        <w:rPr>
          <w:color w:val="000000" w:themeColor="text1"/>
        </w:rPr>
        <w:t xml:space="preserve"> of </w:t>
      </w:r>
      <w:r w:rsidR="00A426F8" w:rsidRPr="007F1283">
        <w:rPr>
          <w:color w:val="000000" w:themeColor="text1"/>
        </w:rPr>
        <w:t>their</w:t>
      </w:r>
      <w:r w:rsidR="00B96C9A" w:rsidRPr="007F1283">
        <w:rPr>
          <w:color w:val="000000" w:themeColor="text1"/>
        </w:rPr>
        <w:t xml:space="preserve"> particular view. But the two statements will serve, we hope, as demonstrations of the </w:t>
      </w:r>
      <w:r w:rsidR="00A426F8" w:rsidRPr="007F1283">
        <w:rPr>
          <w:color w:val="000000" w:themeColor="text1"/>
        </w:rPr>
        <w:t>serious attempts made by people across the spectrum of belief to think theologically about the issues and to honour the authority of Scripture</w:t>
      </w:r>
      <w:r w:rsidR="00B96C9A" w:rsidRPr="007F1283">
        <w:rPr>
          <w:color w:val="000000" w:themeColor="text1"/>
        </w:rPr>
        <w:t xml:space="preserve">. </w:t>
      </w:r>
      <w:r w:rsidR="00436587" w:rsidRPr="007F1283">
        <w:rPr>
          <w:color w:val="000000" w:themeColor="text1"/>
        </w:rPr>
        <w:t xml:space="preserve">The labels </w:t>
      </w:r>
      <w:r w:rsidR="007D4F25" w:rsidRPr="007F1283">
        <w:rPr>
          <w:color w:val="000000" w:themeColor="text1"/>
        </w:rPr>
        <w:t>‘</w:t>
      </w:r>
      <w:r w:rsidR="00436587" w:rsidRPr="007F1283">
        <w:rPr>
          <w:color w:val="000000" w:themeColor="text1"/>
        </w:rPr>
        <w:t>conservative</w:t>
      </w:r>
      <w:r w:rsidR="007D4F25" w:rsidRPr="007F1283">
        <w:rPr>
          <w:color w:val="000000" w:themeColor="text1"/>
        </w:rPr>
        <w:t>’</w:t>
      </w:r>
      <w:r w:rsidR="00436587" w:rsidRPr="007F1283">
        <w:rPr>
          <w:color w:val="000000" w:themeColor="text1"/>
        </w:rPr>
        <w:t xml:space="preserve"> and </w:t>
      </w:r>
      <w:r w:rsidR="007D4F25" w:rsidRPr="007F1283">
        <w:rPr>
          <w:color w:val="000000" w:themeColor="text1"/>
        </w:rPr>
        <w:t>‘</w:t>
      </w:r>
      <w:r w:rsidR="00436587" w:rsidRPr="007F1283">
        <w:rPr>
          <w:color w:val="000000" w:themeColor="text1"/>
        </w:rPr>
        <w:t>progressive</w:t>
      </w:r>
      <w:r w:rsidR="007D4F25" w:rsidRPr="007F1283">
        <w:rPr>
          <w:color w:val="000000" w:themeColor="text1"/>
        </w:rPr>
        <w:t>’</w:t>
      </w:r>
      <w:r w:rsidR="00436587" w:rsidRPr="007F1283">
        <w:rPr>
          <w:color w:val="000000" w:themeColor="text1"/>
        </w:rPr>
        <w:t xml:space="preserve"> are not ideal. Their use can encourage us to jump to conclusions about what others may think and believe. </w:t>
      </w:r>
      <w:r w:rsidR="00920918" w:rsidRPr="007F1283">
        <w:rPr>
          <w:color w:val="000000" w:themeColor="text1"/>
        </w:rPr>
        <w:t>If we are to enter into genuine dialogue, however, we must resist the temptation to jump to conclusions. We must be ready to listen with humility to views that differ from our own and to recognise that there may be wisdom in the views of others that we have yet to learn.</w:t>
      </w:r>
    </w:p>
    <w:p w14:paraId="7E2C97BA" w14:textId="0FC5B3E2" w:rsidR="007D4F25" w:rsidRPr="007F1283" w:rsidRDefault="007D4F25" w:rsidP="007D4F25">
      <w:pPr>
        <w:jc w:val="both"/>
        <w:rPr>
          <w:color w:val="000000" w:themeColor="text1"/>
        </w:rPr>
      </w:pPr>
    </w:p>
    <w:p w14:paraId="2E929B93" w14:textId="49673244" w:rsidR="007D4F25" w:rsidRPr="007F1283" w:rsidRDefault="007D4F25" w:rsidP="007D4F25">
      <w:pPr>
        <w:jc w:val="both"/>
        <w:rPr>
          <w:color w:val="000000" w:themeColor="text1"/>
        </w:rPr>
      </w:pPr>
    </w:p>
    <w:p w14:paraId="170028B5" w14:textId="418B7920" w:rsidR="007D4F25" w:rsidRPr="007F1283" w:rsidRDefault="007D4F25" w:rsidP="007D4F25">
      <w:pPr>
        <w:jc w:val="center"/>
        <w:rPr>
          <w:b/>
          <w:bCs/>
          <w:color w:val="000000" w:themeColor="text1"/>
        </w:rPr>
      </w:pPr>
      <w:r w:rsidRPr="007F1283">
        <w:rPr>
          <w:b/>
          <w:bCs/>
          <w:color w:val="000000" w:themeColor="text1"/>
        </w:rPr>
        <w:t>A ‘CONSERVATIVE’ CONSIDERATION OF THE ISSUES</w:t>
      </w:r>
    </w:p>
    <w:p w14:paraId="66AD5002" w14:textId="21E358BC" w:rsidR="007D4F25" w:rsidRPr="007F1283" w:rsidRDefault="007D4F25" w:rsidP="007D4F25">
      <w:pPr>
        <w:jc w:val="both"/>
        <w:rPr>
          <w:b/>
          <w:bCs/>
          <w:color w:val="000000" w:themeColor="text1"/>
        </w:rPr>
      </w:pPr>
    </w:p>
    <w:p w14:paraId="4F01584F" w14:textId="5745DB0D" w:rsidR="007D4F25" w:rsidRPr="007F1283" w:rsidRDefault="007D4F25" w:rsidP="007D4F25">
      <w:pPr>
        <w:jc w:val="both"/>
        <w:rPr>
          <w:color w:val="000000" w:themeColor="text1"/>
        </w:rPr>
      </w:pPr>
      <w:r w:rsidRPr="007F1283">
        <w:rPr>
          <w:color w:val="000000" w:themeColor="text1"/>
        </w:rPr>
        <w:t xml:space="preserve">Conservatives consider their position on sexuality, biblical morality, and leadership </w:t>
      </w:r>
      <w:r w:rsidR="008860B1" w:rsidRPr="007F1283">
        <w:rPr>
          <w:color w:val="000000" w:themeColor="text1"/>
        </w:rPr>
        <w:t xml:space="preserve">to be </w:t>
      </w:r>
      <w:r w:rsidRPr="007F1283">
        <w:rPr>
          <w:color w:val="000000" w:themeColor="text1"/>
        </w:rPr>
        <w:t xml:space="preserve">authoritative </w:t>
      </w:r>
      <w:r w:rsidR="008860B1" w:rsidRPr="007F1283">
        <w:rPr>
          <w:color w:val="000000" w:themeColor="text1"/>
        </w:rPr>
        <w:t xml:space="preserve">because it </w:t>
      </w:r>
      <w:r w:rsidRPr="007F1283">
        <w:rPr>
          <w:color w:val="000000" w:themeColor="text1"/>
        </w:rPr>
        <w:t>is the result of a culturally and historically responsible reading of Scripture and is demonstrably the view of those who took the label ‘Christian’ from the beginning</w:t>
      </w:r>
      <w:r w:rsidRPr="007F1283">
        <w:rPr>
          <w:b/>
          <w:bCs/>
          <w:color w:val="000000" w:themeColor="text1"/>
        </w:rPr>
        <w:t>.</w:t>
      </w:r>
      <w:r w:rsidRPr="007F1283">
        <w:rPr>
          <w:color w:val="000000" w:themeColor="text1"/>
        </w:rPr>
        <w:t xml:space="preserve"> Conservatives find their position compelling in that it helps them make sense of the many phenomena that they experience in the world. Below I shall attempt to demonstrate this with a quick look at three central texts and a brief engagement with some of the significant ideas that underpin the contemporary Christian discussion. </w:t>
      </w:r>
    </w:p>
    <w:p w14:paraId="0DEDC38B" w14:textId="77777777" w:rsidR="007D4F25" w:rsidRPr="007F1283" w:rsidRDefault="007D4F25" w:rsidP="007D4F25">
      <w:pPr>
        <w:jc w:val="both"/>
        <w:rPr>
          <w:color w:val="000000" w:themeColor="text1"/>
        </w:rPr>
      </w:pPr>
    </w:p>
    <w:p w14:paraId="01A59C7B" w14:textId="354A9185" w:rsidR="007D4F25" w:rsidRPr="007F1283" w:rsidRDefault="007D4F25" w:rsidP="007D4F25">
      <w:pPr>
        <w:jc w:val="both"/>
        <w:rPr>
          <w:color w:val="000000" w:themeColor="text1"/>
        </w:rPr>
      </w:pPr>
      <w:r w:rsidRPr="007F1283">
        <w:rPr>
          <w:color w:val="000000" w:themeColor="text1"/>
        </w:rPr>
        <w:t xml:space="preserve">It is important for this forthcoming dialogue that participants are aware that conservatives </w:t>
      </w:r>
      <w:r w:rsidR="00E33111" w:rsidRPr="007F1283">
        <w:rPr>
          <w:color w:val="000000" w:themeColor="text1"/>
        </w:rPr>
        <w:t xml:space="preserve">do not agree </w:t>
      </w:r>
      <w:r w:rsidR="00183A4D" w:rsidRPr="007F1283">
        <w:rPr>
          <w:color w:val="000000" w:themeColor="text1"/>
        </w:rPr>
        <w:t>that there are a range of legiti</w:t>
      </w:r>
      <w:r w:rsidR="00C04530" w:rsidRPr="007F1283">
        <w:rPr>
          <w:color w:val="000000" w:themeColor="text1"/>
        </w:rPr>
        <w:t>ma</w:t>
      </w:r>
      <w:r w:rsidR="00183A4D" w:rsidRPr="007F1283">
        <w:rPr>
          <w:color w:val="000000" w:themeColor="text1"/>
        </w:rPr>
        <w:t xml:space="preserve">te </w:t>
      </w:r>
      <w:r w:rsidR="00C04530" w:rsidRPr="007F1283">
        <w:rPr>
          <w:color w:val="000000" w:themeColor="text1"/>
        </w:rPr>
        <w:t xml:space="preserve">biblical </w:t>
      </w:r>
      <w:r w:rsidR="00183A4D" w:rsidRPr="007F1283">
        <w:rPr>
          <w:color w:val="000000" w:themeColor="text1"/>
        </w:rPr>
        <w:t xml:space="preserve">perspectives </w:t>
      </w:r>
      <w:r w:rsidR="00C04530" w:rsidRPr="007F1283">
        <w:rPr>
          <w:color w:val="000000" w:themeColor="text1"/>
        </w:rPr>
        <w:t>on this issue</w:t>
      </w:r>
      <w:r w:rsidRPr="007F1283">
        <w:rPr>
          <w:color w:val="000000" w:themeColor="text1"/>
        </w:rPr>
        <w:t xml:space="preserve">. </w:t>
      </w:r>
      <w:r w:rsidR="00E33111" w:rsidRPr="007F1283">
        <w:rPr>
          <w:color w:val="000000" w:themeColor="text1"/>
        </w:rPr>
        <w:t>T</w:t>
      </w:r>
      <w:r w:rsidRPr="007F1283">
        <w:rPr>
          <w:color w:val="000000" w:themeColor="text1"/>
        </w:rPr>
        <w:t>here are not two faithful views on sexuality, biblical morality and leadership represented by the ‘conservative’ view and the ‘progressive’ view, but only one faithful view. As such, it is important to recognise the nature of the disagreement. For those who hold the conservative view, this is not ultimately about a disagreement within Christianity regarding sexuality but rather, it is about the acceptance of the Christian doctrine of Creation or its denial.</w:t>
      </w:r>
      <w:r w:rsidRPr="007F1283">
        <w:rPr>
          <w:rStyle w:val="FootnoteReference"/>
          <w:color w:val="000000" w:themeColor="text1"/>
        </w:rPr>
        <w:footnoteReference w:id="1"/>
      </w:r>
    </w:p>
    <w:p w14:paraId="73D0DDD7" w14:textId="77777777" w:rsidR="007D4F25" w:rsidRPr="007F1283" w:rsidRDefault="007D4F25" w:rsidP="007D4F25">
      <w:pPr>
        <w:jc w:val="both"/>
        <w:rPr>
          <w:color w:val="000000" w:themeColor="text1"/>
        </w:rPr>
      </w:pPr>
    </w:p>
    <w:p w14:paraId="4970BCA0" w14:textId="20461A6D" w:rsidR="007D4F25" w:rsidRPr="007F1283" w:rsidRDefault="007D4F25" w:rsidP="007D4F25">
      <w:pPr>
        <w:jc w:val="both"/>
        <w:rPr>
          <w:color w:val="000000" w:themeColor="text1"/>
        </w:rPr>
      </w:pPr>
      <w:r w:rsidRPr="007F1283">
        <w:rPr>
          <w:color w:val="000000" w:themeColor="text1"/>
        </w:rPr>
        <w:lastRenderedPageBreak/>
        <w:t>Genesis 1 tells the story of how God brought order out of chaos.</w:t>
      </w:r>
      <w:r w:rsidRPr="007F1283">
        <w:rPr>
          <w:rStyle w:val="FootnoteReference"/>
          <w:color w:val="000000" w:themeColor="text1"/>
        </w:rPr>
        <w:footnoteReference w:id="2"/>
      </w:r>
      <w:r w:rsidRPr="007F1283">
        <w:rPr>
          <w:color w:val="000000" w:themeColor="text1"/>
        </w:rPr>
        <w:t xml:space="preserve"> Throughout the chapter, chaos is expelled, and the order that God intentionally brings is in pairs with heaven and earth, light and darkness, and then eventually, male and female. It is significant for the conservative exegete that the order of creation is binary and comes to its climax in the creation of God’s image as male and female.</w:t>
      </w:r>
      <w:r w:rsidRPr="007F1283">
        <w:rPr>
          <w:rStyle w:val="FootnoteReference"/>
          <w:color w:val="000000" w:themeColor="text1"/>
        </w:rPr>
        <w:footnoteReference w:id="3"/>
      </w:r>
      <w:r w:rsidRPr="007F1283">
        <w:rPr>
          <w:color w:val="000000" w:themeColor="text1"/>
        </w:rPr>
        <w:t xml:space="preserve"> Part of God’s command to his male and female image is to procreate and thus the ability to do so is essential for God’s design for sexual relationships. This theme is traced through to Genesis 2:22 where God takes a part of the man’s side and creates woman. Thus the marriage union is the coming together of a man and a woman and the drive that draws them together is mythologically spoken of as the reunion of a primordial unity – the union of two whose complementarity is derived from their mythological history.</w:t>
      </w:r>
      <w:r w:rsidRPr="007F1283">
        <w:rPr>
          <w:rStyle w:val="FootnoteReference"/>
          <w:color w:val="000000" w:themeColor="text1"/>
        </w:rPr>
        <w:footnoteReference w:id="4"/>
      </w:r>
      <w:r w:rsidRPr="007F1283">
        <w:rPr>
          <w:color w:val="000000" w:themeColor="text1"/>
        </w:rPr>
        <w:t xml:space="preserve"> </w:t>
      </w:r>
    </w:p>
    <w:p w14:paraId="05012AD5" w14:textId="51222FAD" w:rsidR="007D4F25" w:rsidRPr="007F1283" w:rsidRDefault="007D4F25" w:rsidP="007D4F25">
      <w:pPr>
        <w:jc w:val="both"/>
        <w:rPr>
          <w:color w:val="000000" w:themeColor="text1"/>
        </w:rPr>
      </w:pPr>
      <w:r w:rsidRPr="007F1283">
        <w:rPr>
          <w:color w:val="000000" w:themeColor="text1"/>
        </w:rPr>
        <w:t xml:space="preserve">The story is highly polemical and set against the backdrop of alternative stories where the chaos of lived experience is the result of the gods’ actions and the destinies they set (e.g., Enuma </w:t>
      </w:r>
      <w:proofErr w:type="spellStart"/>
      <w:r w:rsidRPr="007F1283">
        <w:rPr>
          <w:color w:val="000000" w:themeColor="text1"/>
        </w:rPr>
        <w:t>Elish</w:t>
      </w:r>
      <w:proofErr w:type="spellEnd"/>
      <w:r w:rsidRPr="007F1283">
        <w:rPr>
          <w:color w:val="000000" w:themeColor="text1"/>
        </w:rPr>
        <w:t>).</w:t>
      </w:r>
      <w:r w:rsidRPr="007F1283">
        <w:rPr>
          <w:rStyle w:val="FootnoteReference"/>
          <w:color w:val="000000" w:themeColor="text1"/>
        </w:rPr>
        <w:footnoteReference w:id="5"/>
      </w:r>
      <w:r w:rsidRPr="007F1283">
        <w:rPr>
          <w:color w:val="000000" w:themeColor="text1"/>
        </w:rPr>
        <w:t xml:space="preserve"> Significantly for the Genesis creation story, the chaos is ordered, and it is not until Genesis 3 that the order of God’s creation is disrupted. This view of Israel’s God as the creator of order out of chaos became one of the pillars of second Temple Judaism and stands behind</w:t>
      </w:r>
      <w:r w:rsidR="008860B1" w:rsidRPr="007F1283">
        <w:rPr>
          <w:color w:val="000000" w:themeColor="text1"/>
        </w:rPr>
        <w:t xml:space="preserve"> </w:t>
      </w:r>
      <w:r w:rsidRPr="007F1283">
        <w:rPr>
          <w:color w:val="000000" w:themeColor="text1"/>
        </w:rPr>
        <w:t>what conservatives consider to be the binary logic of new creation in the New Testament. This binary ‘creational’ logic is what gives rise to the New Testament’s teaching regarding the incarnation and the resurrected Jesus as the prototype of the new creation (1 Cor 15:20-23), when heaven and earth are, once again, brought together (</w:t>
      </w:r>
      <w:proofErr w:type="spellStart"/>
      <w:r w:rsidRPr="007F1283">
        <w:rPr>
          <w:color w:val="000000" w:themeColor="text1"/>
        </w:rPr>
        <w:t>Eph</w:t>
      </w:r>
      <w:proofErr w:type="spellEnd"/>
      <w:r w:rsidRPr="007F1283">
        <w:rPr>
          <w:color w:val="000000" w:themeColor="text1"/>
        </w:rPr>
        <w:t xml:space="preserve"> 1:10; Rev 21:1-3). It is what stands behind the New Testament’s insistence that marriage between a man and a woman is supposed to be a signpost of the future coming together of Jesus and the Church (</w:t>
      </w:r>
      <w:proofErr w:type="spellStart"/>
      <w:r w:rsidRPr="007F1283">
        <w:rPr>
          <w:color w:val="000000" w:themeColor="text1"/>
        </w:rPr>
        <w:t>Eph</w:t>
      </w:r>
      <w:proofErr w:type="spellEnd"/>
      <w:r w:rsidRPr="007F1283">
        <w:rPr>
          <w:color w:val="000000" w:themeColor="text1"/>
        </w:rPr>
        <w:t xml:space="preserve"> 5:29-32). In the conservative view therefore, to deny this binary logic is not simply to deny a few isolated proof texts but the entire sweep of scripture from creation to new creation.</w:t>
      </w:r>
    </w:p>
    <w:p w14:paraId="318A38A9" w14:textId="77777777" w:rsidR="007D4F25" w:rsidRPr="007F1283" w:rsidRDefault="007D4F25" w:rsidP="007D4F25">
      <w:pPr>
        <w:jc w:val="both"/>
        <w:rPr>
          <w:color w:val="000000" w:themeColor="text1"/>
        </w:rPr>
      </w:pPr>
    </w:p>
    <w:p w14:paraId="73585269" w14:textId="60D5FC88" w:rsidR="007D4F25" w:rsidRPr="007F1283" w:rsidRDefault="007D4F25" w:rsidP="007D4F25">
      <w:pPr>
        <w:jc w:val="both"/>
        <w:rPr>
          <w:color w:val="000000" w:themeColor="text1"/>
        </w:rPr>
      </w:pPr>
      <w:r w:rsidRPr="007F1283">
        <w:rPr>
          <w:color w:val="000000" w:themeColor="text1"/>
        </w:rPr>
        <w:t>Matthew 19:1-12 contains Jesus’ teaching on divorce and has Jesus citing texts from the creation story as he argues for his view on marriage and sexuality. Matthew 19:1-12 is important for our discussion for the following reasons. First, it portrays Jesus’ opponents who argue from scripture for a more permissive view of divorce that conveniently suited their own cultural and male biases.</w:t>
      </w:r>
      <w:r w:rsidRPr="007F1283">
        <w:rPr>
          <w:rStyle w:val="FootnoteReference"/>
          <w:color w:val="000000" w:themeColor="text1"/>
        </w:rPr>
        <w:footnoteReference w:id="6"/>
      </w:r>
      <w:r w:rsidRPr="007F1283">
        <w:rPr>
          <w:color w:val="000000" w:themeColor="text1"/>
        </w:rPr>
        <w:t xml:space="preserve"> Jesus’ response gives the reader a methodological principle for </w:t>
      </w:r>
      <w:r w:rsidRPr="007F1283">
        <w:rPr>
          <w:color w:val="000000" w:themeColor="text1"/>
        </w:rPr>
        <w:lastRenderedPageBreak/>
        <w:t>determining what is right when there are conflicting texts and huge contextual biases at play. Jesus’ response creates a hierarchy of authoritative texts in such an instance, where the original purpose reflected in the creation narratives is more authoritative for determining God’s intention than later texts that only existed, according to Jesus, because of human’ weakness.</w:t>
      </w:r>
      <w:r w:rsidRPr="007F1283">
        <w:rPr>
          <w:rStyle w:val="FootnoteReference"/>
          <w:color w:val="000000" w:themeColor="text1"/>
        </w:rPr>
        <w:footnoteReference w:id="7"/>
      </w:r>
      <w:r w:rsidRPr="007F1283">
        <w:rPr>
          <w:color w:val="000000" w:themeColor="text1"/>
        </w:rPr>
        <w:t xml:space="preserve"> </w:t>
      </w:r>
    </w:p>
    <w:p w14:paraId="28DC7288" w14:textId="77777777" w:rsidR="007D4F25" w:rsidRPr="007F1283" w:rsidRDefault="007D4F25" w:rsidP="007D4F25">
      <w:pPr>
        <w:jc w:val="both"/>
        <w:rPr>
          <w:color w:val="000000" w:themeColor="text1"/>
        </w:rPr>
      </w:pPr>
    </w:p>
    <w:p w14:paraId="18D4F11E" w14:textId="1E5E75DD" w:rsidR="007D4F25" w:rsidRPr="007F1283" w:rsidRDefault="007D4F25" w:rsidP="007D4F25">
      <w:pPr>
        <w:jc w:val="both"/>
        <w:rPr>
          <w:color w:val="000000" w:themeColor="text1"/>
        </w:rPr>
      </w:pPr>
      <w:r w:rsidRPr="007F1283">
        <w:rPr>
          <w:color w:val="000000" w:themeColor="text1"/>
        </w:rPr>
        <w:t xml:space="preserve">A second reason why Matthew 19:1-12 is important is because of its use of the key word </w:t>
      </w:r>
      <w:proofErr w:type="spellStart"/>
      <w:r w:rsidRPr="007F1283">
        <w:rPr>
          <w:i/>
          <w:iCs/>
          <w:color w:val="000000" w:themeColor="text1"/>
        </w:rPr>
        <w:t>porneia</w:t>
      </w:r>
      <w:proofErr w:type="spellEnd"/>
      <w:r w:rsidRPr="007F1283">
        <w:rPr>
          <w:color w:val="000000" w:themeColor="text1"/>
        </w:rPr>
        <w:t xml:space="preserve"> which is a very broad term that captures within its scope all sexual activity outside of a heterosexual marriage.</w:t>
      </w:r>
      <w:r w:rsidRPr="007F1283">
        <w:rPr>
          <w:rStyle w:val="FootnoteReference"/>
          <w:color w:val="000000" w:themeColor="text1"/>
        </w:rPr>
        <w:footnoteReference w:id="8"/>
      </w:r>
      <w:r w:rsidRPr="007F1283">
        <w:rPr>
          <w:color w:val="000000" w:themeColor="text1"/>
        </w:rPr>
        <w:t xml:space="preserve"> Jesus’ point is that in the creation account, God intended marriage to be between a man and a woman and that the only permissible reason to break that union is if one of the members had been sexually active outside of that union. </w:t>
      </w:r>
    </w:p>
    <w:p w14:paraId="59D3D3BD" w14:textId="77777777" w:rsidR="007D4F25" w:rsidRPr="007F1283" w:rsidRDefault="007D4F25" w:rsidP="007D4F25">
      <w:pPr>
        <w:jc w:val="both"/>
        <w:rPr>
          <w:color w:val="000000" w:themeColor="text1"/>
        </w:rPr>
      </w:pPr>
    </w:p>
    <w:p w14:paraId="3C32C72B" w14:textId="0C45E239" w:rsidR="007D4F25" w:rsidRPr="007F1283" w:rsidRDefault="007D4F25" w:rsidP="007D4F25">
      <w:pPr>
        <w:jc w:val="both"/>
        <w:rPr>
          <w:color w:val="000000" w:themeColor="text1"/>
        </w:rPr>
      </w:pPr>
      <w:r w:rsidRPr="007F1283">
        <w:rPr>
          <w:color w:val="000000" w:themeColor="text1"/>
        </w:rPr>
        <w:t>Similarly, Paul grounds his sexual ethic in the creation narrative in Romans 1:18-28.</w:t>
      </w:r>
      <w:r w:rsidRPr="007F1283">
        <w:rPr>
          <w:rStyle w:val="FootnoteReference"/>
          <w:color w:val="000000" w:themeColor="text1"/>
        </w:rPr>
        <w:footnoteReference w:id="9"/>
      </w:r>
      <w:r w:rsidRPr="007F1283">
        <w:rPr>
          <w:color w:val="000000" w:themeColor="text1"/>
        </w:rPr>
        <w:t xml:space="preserve"> Paul’s argument in Romans 1:18-23 is that gentiles had also denied the value of the knowledge of God that can be obtained through creation (Rom 1:20).</w:t>
      </w:r>
      <w:r w:rsidRPr="007F1283">
        <w:rPr>
          <w:rStyle w:val="FootnoteReference"/>
          <w:color w:val="000000" w:themeColor="text1"/>
        </w:rPr>
        <w:footnoteReference w:id="10"/>
      </w:r>
      <w:r w:rsidRPr="007F1283">
        <w:rPr>
          <w:color w:val="000000" w:themeColor="text1"/>
        </w:rPr>
        <w:t xml:space="preserve"> Paul, contrary to the Epicureans of his day and modern atheists, claims that the order in the physical world reveals that it has been intentionally created. Paul’s view is that the creation indicates the existence of an invisible and immensely powerful divine creator (Rom 1:20), before whom the proper response is the giving of honour and thanks (Rom 1:21).</w:t>
      </w:r>
      <w:r w:rsidRPr="007F1283">
        <w:rPr>
          <w:rStyle w:val="FootnoteReference"/>
          <w:color w:val="000000" w:themeColor="text1"/>
        </w:rPr>
        <w:footnoteReference w:id="11"/>
      </w:r>
      <w:r w:rsidRPr="007F1283">
        <w:rPr>
          <w:color w:val="000000" w:themeColor="text1"/>
        </w:rPr>
        <w:t xml:space="preserve"> Paul develops his discussion of this knowledge of God that can be obtained through the created order in the direction of those who deny this knowledge. Upon the denial of this knowledge, people create false gods which can come in the form of created things (Rom 1:23) or as was common in Paul’s day and in ours, in alternative worldview assumptions about the cosmos. This in turn leads directly to different assumptions regarding sexual ethics (Rom 1:25-28). Runge points out that Paul does not frame his discussion of homosexual and lesbian sex in terms of wickedness but as what is </w:t>
      </w:r>
      <w:r w:rsidRPr="007F1283">
        <w:rPr>
          <w:color w:val="000000" w:themeColor="text1"/>
        </w:rPr>
        <w:lastRenderedPageBreak/>
        <w:t>against nature.</w:t>
      </w:r>
      <w:r w:rsidRPr="007F1283">
        <w:rPr>
          <w:rStyle w:val="FootnoteReference"/>
          <w:color w:val="000000" w:themeColor="text1"/>
        </w:rPr>
        <w:footnoteReference w:id="12"/>
      </w:r>
      <w:r w:rsidRPr="007F1283">
        <w:rPr>
          <w:color w:val="000000" w:themeColor="text1"/>
        </w:rPr>
        <w:t xml:space="preserve"> That the notion of something being ‘against nature’ is grounded in an understanding of the way the world was designed to work can be found in numerous other ancient authors.</w:t>
      </w:r>
      <w:r w:rsidRPr="007F1283">
        <w:rPr>
          <w:rStyle w:val="FootnoteReference"/>
          <w:color w:val="000000" w:themeColor="text1"/>
        </w:rPr>
        <w:footnoteReference w:id="13"/>
      </w:r>
      <w:r w:rsidRPr="007F1283">
        <w:rPr>
          <w:color w:val="000000" w:themeColor="text1"/>
        </w:rPr>
        <w:t xml:space="preserve"> Thus, Paul’s understanding of heterosexual relations between a man and his wife as </w:t>
      </w:r>
      <w:proofErr w:type="spellStart"/>
      <w:r w:rsidRPr="007F1283">
        <w:rPr>
          <w:i/>
          <w:iCs/>
          <w:color w:val="000000" w:themeColor="text1"/>
        </w:rPr>
        <w:t>physikos</w:t>
      </w:r>
      <w:proofErr w:type="spellEnd"/>
      <w:r w:rsidRPr="007F1283">
        <w:rPr>
          <w:color w:val="000000" w:themeColor="text1"/>
        </w:rPr>
        <w:t xml:space="preserve"> ‘natural,’ and of same sex intercourse as </w:t>
      </w:r>
      <w:r w:rsidRPr="007F1283">
        <w:rPr>
          <w:i/>
          <w:iCs/>
          <w:color w:val="000000" w:themeColor="text1"/>
        </w:rPr>
        <w:t xml:space="preserve">para </w:t>
      </w:r>
      <w:proofErr w:type="spellStart"/>
      <w:r w:rsidRPr="007F1283">
        <w:rPr>
          <w:i/>
          <w:iCs/>
          <w:color w:val="000000" w:themeColor="text1"/>
        </w:rPr>
        <w:t>physin</w:t>
      </w:r>
      <w:proofErr w:type="spellEnd"/>
      <w:r w:rsidRPr="007F1283">
        <w:rPr>
          <w:color w:val="000000" w:themeColor="text1"/>
        </w:rPr>
        <w:t xml:space="preserve"> ‘ against nature,’ is grounded in his understanding of creation. Thus, for Paul, the denial of God as the creator creates a vacuum that is filled with idolatry and leads (to borrow Paul’s language) to an ‘unnatural’ sexual ethic – that is a sexual ethic not grounded in the doctrine of creation.</w:t>
      </w:r>
      <w:r w:rsidRPr="007F1283">
        <w:rPr>
          <w:rStyle w:val="FootnoteReference"/>
          <w:color w:val="000000" w:themeColor="text1"/>
        </w:rPr>
        <w:footnoteReference w:id="14"/>
      </w:r>
    </w:p>
    <w:p w14:paraId="14410762" w14:textId="77777777" w:rsidR="007D4F25" w:rsidRPr="007F1283" w:rsidRDefault="007D4F25" w:rsidP="007D4F25">
      <w:pPr>
        <w:jc w:val="both"/>
        <w:rPr>
          <w:color w:val="000000" w:themeColor="text1"/>
        </w:rPr>
      </w:pPr>
    </w:p>
    <w:p w14:paraId="030F8A1A" w14:textId="72BD68FA" w:rsidR="007D4F25" w:rsidRPr="007F1283" w:rsidRDefault="007D4F25" w:rsidP="007D4F25">
      <w:pPr>
        <w:jc w:val="both"/>
        <w:rPr>
          <w:color w:val="000000" w:themeColor="text1"/>
        </w:rPr>
      </w:pPr>
      <w:r w:rsidRPr="007F1283">
        <w:rPr>
          <w:color w:val="000000" w:themeColor="text1"/>
        </w:rPr>
        <w:t xml:space="preserve">This notion of a </w:t>
      </w:r>
      <w:r w:rsidRPr="007F1283">
        <w:rPr>
          <w:i/>
          <w:iCs/>
          <w:color w:val="000000" w:themeColor="text1"/>
        </w:rPr>
        <w:t>natural</w:t>
      </w:r>
      <w:r w:rsidRPr="007F1283">
        <w:rPr>
          <w:color w:val="000000" w:themeColor="text1"/>
        </w:rPr>
        <w:t xml:space="preserve"> sexual ethic that is based firmly in the Genesis creation accounts, and observable in both Jesus’ and Paul’s use of those creation accounts when discussing sexuality, is significant for conservatives. It is the notion that God created the world with intention and purpose that underlies their view of the normality of heterosexual relationships. However, equally important is their view that acceptance of an </w:t>
      </w:r>
      <w:r w:rsidRPr="007F1283">
        <w:rPr>
          <w:i/>
          <w:iCs/>
          <w:color w:val="000000" w:themeColor="text1"/>
        </w:rPr>
        <w:t xml:space="preserve">unnatural </w:t>
      </w:r>
      <w:r w:rsidRPr="007F1283">
        <w:rPr>
          <w:color w:val="000000" w:themeColor="text1"/>
        </w:rPr>
        <w:t>sexual ethic flows from the denial of the Christian doctrine of creation. Catherine Wilson has argued for an increasing influence of Epicureanism since the rediscovery of Lucretius, and the grounding of much modern philosophy in its tenets.</w:t>
      </w:r>
      <w:r w:rsidRPr="007F1283">
        <w:rPr>
          <w:rStyle w:val="FootnoteReference"/>
          <w:color w:val="000000" w:themeColor="text1"/>
        </w:rPr>
        <w:footnoteReference w:id="15"/>
      </w:r>
      <w:r w:rsidRPr="007F1283">
        <w:rPr>
          <w:color w:val="000000" w:themeColor="text1"/>
        </w:rPr>
        <w:t xml:space="preserve"> Wright contends that Epicureanism displaced deism in 18</w:t>
      </w:r>
      <w:r w:rsidRPr="007F1283">
        <w:rPr>
          <w:color w:val="000000" w:themeColor="text1"/>
          <w:vertAlign w:val="superscript"/>
        </w:rPr>
        <w:t>th</w:t>
      </w:r>
      <w:r w:rsidRPr="007F1283">
        <w:rPr>
          <w:color w:val="000000" w:themeColor="text1"/>
        </w:rPr>
        <w:t xml:space="preserve"> century England as the dominant way of conceiving of the relationship between God/ the gods and the cosmos.</w:t>
      </w:r>
      <w:r w:rsidRPr="007F1283">
        <w:rPr>
          <w:rStyle w:val="FootnoteReference"/>
          <w:color w:val="000000" w:themeColor="text1"/>
        </w:rPr>
        <w:footnoteReference w:id="16"/>
      </w:r>
      <w:r w:rsidRPr="007F1283">
        <w:rPr>
          <w:color w:val="000000" w:themeColor="text1"/>
        </w:rPr>
        <w:t xml:space="preserve"> This neo-Epicureanism was then proven, in the eyes of many, with the triumph of Darwinism in the 19</w:t>
      </w:r>
      <w:r w:rsidRPr="007F1283">
        <w:rPr>
          <w:color w:val="000000" w:themeColor="text1"/>
          <w:vertAlign w:val="superscript"/>
        </w:rPr>
        <w:t>th</w:t>
      </w:r>
      <w:r w:rsidRPr="007F1283">
        <w:rPr>
          <w:color w:val="000000" w:themeColor="text1"/>
        </w:rPr>
        <w:t xml:space="preserve"> and 20</w:t>
      </w:r>
      <w:r w:rsidRPr="007F1283">
        <w:rPr>
          <w:color w:val="000000" w:themeColor="text1"/>
          <w:vertAlign w:val="superscript"/>
        </w:rPr>
        <w:t>th</w:t>
      </w:r>
      <w:r w:rsidRPr="007F1283">
        <w:rPr>
          <w:color w:val="000000" w:themeColor="text1"/>
        </w:rPr>
        <w:t xml:space="preserve"> centuries.</w:t>
      </w:r>
      <w:r w:rsidRPr="007F1283">
        <w:rPr>
          <w:rStyle w:val="FootnoteReference"/>
          <w:color w:val="000000" w:themeColor="text1"/>
        </w:rPr>
        <w:footnoteReference w:id="17"/>
      </w:r>
      <w:r w:rsidRPr="007F1283">
        <w:rPr>
          <w:color w:val="000000" w:themeColor="text1"/>
        </w:rPr>
        <w:t xml:space="preserve"> This neo-Epicureanism claims that </w:t>
      </w:r>
      <w:r w:rsidRPr="007F1283">
        <w:rPr>
          <w:color w:val="000000" w:themeColor="text1"/>
        </w:rPr>
        <w:lastRenderedPageBreak/>
        <w:t>the perceived order in the cosmos is the result of the chaotic movement of atoms in space.</w:t>
      </w:r>
      <w:r w:rsidRPr="007F1283">
        <w:rPr>
          <w:rStyle w:val="FootnoteReference"/>
          <w:color w:val="000000" w:themeColor="text1"/>
        </w:rPr>
        <w:footnoteReference w:id="18"/>
      </w:r>
      <w:r w:rsidRPr="007F1283">
        <w:rPr>
          <w:color w:val="000000" w:themeColor="text1"/>
        </w:rPr>
        <w:t xml:space="preserve"> This notion of chaos as the creator of the cosmos leads directly to the view that there is no intention for our sexuality.</w:t>
      </w:r>
      <w:r w:rsidRPr="007F1283">
        <w:rPr>
          <w:rStyle w:val="FootnoteReference"/>
          <w:color w:val="000000" w:themeColor="text1"/>
        </w:rPr>
        <w:footnoteReference w:id="19"/>
      </w:r>
      <w:r w:rsidRPr="007F1283">
        <w:rPr>
          <w:color w:val="000000" w:themeColor="text1"/>
        </w:rPr>
        <w:t xml:space="preserve"> After all, if chaos is our creator, then we should expect chaos in every facet of the cosmos including our sexuality.</w:t>
      </w:r>
      <w:r w:rsidRPr="007F1283">
        <w:rPr>
          <w:rStyle w:val="FootnoteReference"/>
          <w:color w:val="000000" w:themeColor="text1"/>
        </w:rPr>
        <w:footnoteReference w:id="20"/>
      </w:r>
      <w:r w:rsidRPr="007F1283">
        <w:rPr>
          <w:color w:val="000000" w:themeColor="text1"/>
        </w:rPr>
        <w:t xml:space="preserve"> If we live in a chaotic universe rather than an ordered universe, then there is no ontologically right way to be in the universe for there is no governing purpose or order. Thus, conservatives regard the views of those who argue for the more ‘</w:t>
      </w:r>
      <w:r w:rsidR="008860B1" w:rsidRPr="007F1283">
        <w:rPr>
          <w:color w:val="000000" w:themeColor="text1"/>
        </w:rPr>
        <w:t xml:space="preserve">progressive </w:t>
      </w:r>
      <w:r w:rsidRPr="007F1283">
        <w:rPr>
          <w:color w:val="000000" w:themeColor="text1"/>
        </w:rPr>
        <w:t xml:space="preserve">view’ on sexuality with deep suspicion. For conservatives, this </w:t>
      </w:r>
      <w:r w:rsidR="008860B1" w:rsidRPr="007F1283">
        <w:rPr>
          <w:color w:val="000000" w:themeColor="text1"/>
        </w:rPr>
        <w:t xml:space="preserve">progressive </w:t>
      </w:r>
      <w:r w:rsidRPr="007F1283">
        <w:rPr>
          <w:color w:val="000000" w:themeColor="text1"/>
        </w:rPr>
        <w:t>view is the result of denying the Christian doctrine of creation, allowing the vacuum to be filled by the dominant neo-Epicureanism of western culture, and results in the outcome of an ‘unnatural’ sexual ethic.</w:t>
      </w:r>
    </w:p>
    <w:p w14:paraId="6CAC078F" w14:textId="77777777" w:rsidR="007D4F25" w:rsidRPr="007F1283" w:rsidRDefault="007D4F25" w:rsidP="007D4F25">
      <w:pPr>
        <w:jc w:val="both"/>
        <w:rPr>
          <w:color w:val="000000" w:themeColor="text1"/>
        </w:rPr>
      </w:pPr>
    </w:p>
    <w:p w14:paraId="0631B3E2" w14:textId="433BAEA4" w:rsidR="007D4F25" w:rsidRPr="007F1283" w:rsidRDefault="007D4F25" w:rsidP="007D4F25">
      <w:pPr>
        <w:jc w:val="both"/>
        <w:rPr>
          <w:color w:val="000000" w:themeColor="text1"/>
        </w:rPr>
      </w:pPr>
      <w:r w:rsidRPr="007F1283">
        <w:rPr>
          <w:color w:val="000000" w:themeColor="text1"/>
        </w:rPr>
        <w:t>Purpose has always been a key aspect of the Christian doctrine of creation. In summarising the universal Christian belief on creation Olsen notes ‘If God is good then he created with a purpose. A randomly and capriciously wrought world would not be the work of a good God.’</w:t>
      </w:r>
      <w:r w:rsidRPr="007F1283">
        <w:rPr>
          <w:rStyle w:val="FootnoteReference"/>
          <w:color w:val="000000" w:themeColor="text1"/>
        </w:rPr>
        <w:footnoteReference w:id="21"/>
      </w:r>
      <w:r w:rsidRPr="007F1283">
        <w:rPr>
          <w:color w:val="000000" w:themeColor="text1"/>
        </w:rPr>
        <w:t xml:space="preserve"> </w:t>
      </w:r>
      <w:r w:rsidRPr="007F1283">
        <w:rPr>
          <w:color w:val="000000" w:themeColor="text1"/>
        </w:rPr>
        <w:lastRenderedPageBreak/>
        <w:t>As such, if sexuality (as part of God’s good creation) has a purpose, then there is a correct way for sexuality to be used. Thus, the conservative position on sexuality suggests first, that a Christian view on sexuality must propose a purpose for sexuality (right and wrong sexual expressions) for it to remain within the boundaries of Christian belief on creation.</w:t>
      </w:r>
      <w:r w:rsidRPr="007F1283">
        <w:rPr>
          <w:rStyle w:val="FootnoteReference"/>
          <w:color w:val="000000" w:themeColor="text1"/>
        </w:rPr>
        <w:footnoteReference w:id="22"/>
      </w:r>
      <w:r w:rsidRPr="007F1283">
        <w:rPr>
          <w:color w:val="000000" w:themeColor="text1"/>
        </w:rPr>
        <w:t xml:space="preserve"> Then second, that the best sources for determining God’s purpose for sexuality is in scripture and scripture’s grounding of the ethics of sexuality in creation.</w:t>
      </w:r>
      <w:r w:rsidRPr="007F1283">
        <w:rPr>
          <w:rStyle w:val="FootnoteReference"/>
          <w:color w:val="000000" w:themeColor="text1"/>
        </w:rPr>
        <w:footnoteReference w:id="23"/>
      </w:r>
      <w:r w:rsidRPr="007F1283">
        <w:rPr>
          <w:color w:val="000000" w:themeColor="text1"/>
        </w:rPr>
        <w:t xml:space="preserve"> A Christian leader must be someone of strong Christian faith, who understands the Gospel and therefore seeks to live a life in line with God’s revealed purposes (ethics). </w:t>
      </w:r>
    </w:p>
    <w:p w14:paraId="003B76C4" w14:textId="04480045" w:rsidR="007D4F25" w:rsidRPr="007F1283" w:rsidRDefault="007D4F25" w:rsidP="007D4F25">
      <w:pPr>
        <w:jc w:val="both"/>
        <w:rPr>
          <w:color w:val="000000" w:themeColor="text1"/>
        </w:rPr>
      </w:pPr>
    </w:p>
    <w:p w14:paraId="593EF9FC" w14:textId="6009131F" w:rsidR="007D4F25" w:rsidRPr="007F1283" w:rsidRDefault="007D4F25" w:rsidP="007D4F25">
      <w:pPr>
        <w:jc w:val="both"/>
        <w:rPr>
          <w:color w:val="000000" w:themeColor="text1"/>
        </w:rPr>
      </w:pPr>
    </w:p>
    <w:p w14:paraId="50784499" w14:textId="532C5FD3" w:rsidR="007D4F25" w:rsidRPr="007F1283" w:rsidRDefault="00E64EA6" w:rsidP="00E64EA6">
      <w:pPr>
        <w:jc w:val="center"/>
        <w:rPr>
          <w:b/>
          <w:color w:val="000000" w:themeColor="text1"/>
        </w:rPr>
      </w:pPr>
      <w:r w:rsidRPr="007F1283">
        <w:rPr>
          <w:b/>
          <w:color w:val="000000" w:themeColor="text1"/>
        </w:rPr>
        <w:t>A ‘PROGRESSIVE’ CONSIDERATION OF THE ISSUES</w:t>
      </w:r>
    </w:p>
    <w:p w14:paraId="01A1CD92" w14:textId="77777777" w:rsidR="007D4F25" w:rsidRPr="007F1283" w:rsidRDefault="007D4F25" w:rsidP="007D4F25">
      <w:pPr>
        <w:jc w:val="both"/>
        <w:rPr>
          <w:b/>
          <w:color w:val="000000" w:themeColor="text1"/>
        </w:rPr>
      </w:pPr>
    </w:p>
    <w:p w14:paraId="3B90A8A4" w14:textId="77777777" w:rsidR="007D4F25" w:rsidRPr="007F1283" w:rsidRDefault="007D4F25" w:rsidP="007D4F25">
      <w:pPr>
        <w:jc w:val="both"/>
        <w:rPr>
          <w:color w:val="000000" w:themeColor="text1"/>
        </w:rPr>
      </w:pPr>
      <w:r w:rsidRPr="007F1283">
        <w:rPr>
          <w:color w:val="000000" w:themeColor="text1"/>
        </w:rPr>
        <w:t>It should be a clear warning sign for the Church, when a particular doctrinal position, however well intentioned, causes harm to people. In recent years, the stories of rainbow people reveal the harm caused by a traditionalist Christian ethic on sexuality and gender. Each story is unique and deserves to be heard and taken seriously.</w:t>
      </w:r>
      <w:r w:rsidRPr="007F1283">
        <w:rPr>
          <w:color w:val="000000" w:themeColor="text1"/>
          <w:vertAlign w:val="superscript"/>
        </w:rPr>
        <w:footnoteReference w:id="24"/>
      </w:r>
      <w:r w:rsidRPr="007F1283">
        <w:rPr>
          <w:color w:val="000000" w:themeColor="text1"/>
        </w:rPr>
        <w:t xml:space="preserve"> </w:t>
      </w:r>
    </w:p>
    <w:p w14:paraId="37A2806F" w14:textId="77777777" w:rsidR="007D4F25" w:rsidRPr="007F1283" w:rsidRDefault="007D4F25" w:rsidP="007D4F25">
      <w:pPr>
        <w:jc w:val="both"/>
        <w:rPr>
          <w:color w:val="000000" w:themeColor="text1"/>
        </w:rPr>
      </w:pPr>
    </w:p>
    <w:p w14:paraId="7025E888" w14:textId="6776D26B" w:rsidR="007D4F25" w:rsidRPr="007F1283" w:rsidRDefault="007D4F25" w:rsidP="007D4F25">
      <w:pPr>
        <w:jc w:val="both"/>
        <w:rPr>
          <w:color w:val="000000" w:themeColor="text1"/>
        </w:rPr>
      </w:pPr>
      <w:r w:rsidRPr="007F1283">
        <w:rPr>
          <w:color w:val="000000" w:themeColor="text1"/>
        </w:rPr>
        <w:t>A common theme to the stories of rainbow Christians is that their sexual orientation or gender identity are irreconcilable with traditional Christian doctrine because a core, involuntary, and unchangeable aspect of their identity is invalidated as a distortion of God’s intended order of things.</w:t>
      </w:r>
      <w:r w:rsidRPr="007F1283">
        <w:rPr>
          <w:color w:val="000000" w:themeColor="text1"/>
          <w:vertAlign w:val="superscript"/>
        </w:rPr>
        <w:footnoteReference w:id="25"/>
      </w:r>
      <w:r w:rsidRPr="007F1283">
        <w:rPr>
          <w:color w:val="000000" w:themeColor="text1"/>
        </w:rPr>
        <w:t xml:space="preserve"> This irreconcilable tension gives rise to feelings of guilt, shame, and self-loathing.</w:t>
      </w:r>
      <w:r w:rsidRPr="007F1283">
        <w:rPr>
          <w:color w:val="000000" w:themeColor="text1"/>
          <w:vertAlign w:val="superscript"/>
        </w:rPr>
        <w:footnoteReference w:id="26"/>
      </w:r>
      <w:r w:rsidRPr="007F1283">
        <w:rPr>
          <w:color w:val="000000" w:themeColor="text1"/>
        </w:rPr>
        <w:t xml:space="preserve"> Unsurprisingly, many choose to leave their faith behind and never darken the door of a church again.</w:t>
      </w:r>
    </w:p>
    <w:p w14:paraId="79568ACF" w14:textId="77777777" w:rsidR="007D4F25" w:rsidRPr="007F1283" w:rsidRDefault="007D4F25" w:rsidP="007D4F25">
      <w:pPr>
        <w:jc w:val="both"/>
        <w:rPr>
          <w:color w:val="000000" w:themeColor="text1"/>
        </w:rPr>
      </w:pPr>
    </w:p>
    <w:p w14:paraId="08182C80" w14:textId="3723758C" w:rsidR="007D4F25" w:rsidRPr="007F1283" w:rsidRDefault="007D4F25" w:rsidP="007D4F25">
      <w:pPr>
        <w:jc w:val="both"/>
        <w:rPr>
          <w:color w:val="000000" w:themeColor="text1"/>
        </w:rPr>
      </w:pPr>
      <w:r w:rsidRPr="007F1283">
        <w:rPr>
          <w:color w:val="000000" w:themeColor="text1"/>
        </w:rPr>
        <w:t xml:space="preserve">The alarm bells should be ringing. As Mark </w:t>
      </w:r>
      <w:proofErr w:type="spellStart"/>
      <w:r w:rsidRPr="007F1283">
        <w:rPr>
          <w:color w:val="000000" w:themeColor="text1"/>
        </w:rPr>
        <w:t>Achtemeier</w:t>
      </w:r>
      <w:proofErr w:type="spellEnd"/>
      <w:r w:rsidRPr="007F1283">
        <w:rPr>
          <w:color w:val="000000" w:themeColor="text1"/>
        </w:rPr>
        <w:t xml:space="preserve"> points out, the consistent message of scripture is that the result of faithfully following God’s word is </w:t>
      </w:r>
      <w:r w:rsidRPr="007F1283">
        <w:rPr>
          <w:i/>
          <w:color w:val="000000" w:themeColor="text1"/>
        </w:rPr>
        <w:t>life</w:t>
      </w:r>
      <w:r w:rsidRPr="007F1283">
        <w:rPr>
          <w:color w:val="000000" w:themeColor="text1"/>
        </w:rPr>
        <w:t xml:space="preserve"> (Deuteronomy 30:15-20). Further, obedience to God’s law is the path to happiness (Psalm 1:1-4).</w:t>
      </w:r>
      <w:r w:rsidRPr="007F1283">
        <w:rPr>
          <w:color w:val="000000" w:themeColor="text1"/>
          <w:vertAlign w:val="superscript"/>
        </w:rPr>
        <w:footnoteReference w:id="27"/>
      </w:r>
      <w:r w:rsidRPr="007F1283">
        <w:rPr>
          <w:color w:val="000000" w:themeColor="text1"/>
        </w:rPr>
        <w:t xml:space="preserve"> If the result of </w:t>
      </w:r>
      <w:r w:rsidRPr="007F1283">
        <w:rPr>
          <w:color w:val="000000" w:themeColor="text1"/>
        </w:rPr>
        <w:lastRenderedPageBreak/>
        <w:t xml:space="preserve">following </w:t>
      </w:r>
      <w:r w:rsidR="00FC4218" w:rsidRPr="007F1283">
        <w:rPr>
          <w:color w:val="000000" w:themeColor="text1"/>
        </w:rPr>
        <w:t xml:space="preserve">a particular interpretation of </w:t>
      </w:r>
      <w:r w:rsidRPr="007F1283">
        <w:rPr>
          <w:color w:val="000000" w:themeColor="text1"/>
        </w:rPr>
        <w:t xml:space="preserve">God’s law is psychological distress, depression, and – at worst – suicide, then perhaps that interpretation of the law is not of God. Perhaps the Church has misinterpreted God’s law. </w:t>
      </w:r>
    </w:p>
    <w:p w14:paraId="226FE35F" w14:textId="77777777" w:rsidR="007D4F25" w:rsidRPr="007F1283" w:rsidRDefault="007D4F25" w:rsidP="007D4F25">
      <w:pPr>
        <w:jc w:val="both"/>
        <w:rPr>
          <w:color w:val="000000" w:themeColor="text1"/>
        </w:rPr>
      </w:pPr>
    </w:p>
    <w:p w14:paraId="3972882E" w14:textId="187D971E" w:rsidR="007D4F25" w:rsidRPr="007F1283" w:rsidRDefault="007D4F25" w:rsidP="007D4F25">
      <w:pPr>
        <w:jc w:val="both"/>
        <w:rPr>
          <w:color w:val="000000" w:themeColor="text1"/>
        </w:rPr>
      </w:pPr>
      <w:r w:rsidRPr="007F1283">
        <w:rPr>
          <w:color w:val="000000" w:themeColor="text1"/>
        </w:rPr>
        <w:t xml:space="preserve">The issue of </w:t>
      </w:r>
      <w:r w:rsidRPr="007F1283">
        <w:rPr>
          <w:i/>
          <w:color w:val="000000" w:themeColor="text1"/>
        </w:rPr>
        <w:t>interpretation</w:t>
      </w:r>
      <w:r w:rsidRPr="007F1283">
        <w:rPr>
          <w:color w:val="000000" w:themeColor="text1"/>
        </w:rPr>
        <w:t xml:space="preserve"> – </w:t>
      </w:r>
      <w:r w:rsidRPr="007F1283">
        <w:rPr>
          <w:i/>
          <w:color w:val="000000" w:themeColor="text1"/>
        </w:rPr>
        <w:t xml:space="preserve">hermeneutics </w:t>
      </w:r>
      <w:r w:rsidRPr="007F1283">
        <w:rPr>
          <w:color w:val="000000" w:themeColor="text1"/>
        </w:rPr>
        <w:t>– gets to the heart of the matter. The stories of rainbow people may indeed be a gift to the Church:</w:t>
      </w:r>
      <w:r w:rsidRPr="007F1283">
        <w:rPr>
          <w:color w:val="000000" w:themeColor="text1"/>
          <w:vertAlign w:val="superscript"/>
        </w:rPr>
        <w:footnoteReference w:id="28"/>
      </w:r>
      <w:r w:rsidRPr="007F1283">
        <w:rPr>
          <w:color w:val="000000" w:themeColor="text1"/>
        </w:rPr>
        <w:t xml:space="preserve"> a wake-up call from the wilderness to repent and believe as we learn to live faithfully together in obedience to God’s life-giving Word.</w:t>
      </w:r>
      <w:r w:rsidRPr="007F1283">
        <w:rPr>
          <w:color w:val="000000" w:themeColor="text1"/>
          <w:vertAlign w:val="superscript"/>
        </w:rPr>
        <w:footnoteReference w:id="29"/>
      </w:r>
    </w:p>
    <w:p w14:paraId="79DF304A" w14:textId="77777777" w:rsidR="007D4F25" w:rsidRPr="007F1283" w:rsidRDefault="007D4F25" w:rsidP="007D4F25">
      <w:pPr>
        <w:jc w:val="both"/>
        <w:rPr>
          <w:color w:val="000000" w:themeColor="text1"/>
        </w:rPr>
      </w:pPr>
    </w:p>
    <w:p w14:paraId="024C7016" w14:textId="77777777" w:rsidR="007D4F25" w:rsidRPr="007F1283" w:rsidRDefault="007D4F25" w:rsidP="007D4F25">
      <w:pPr>
        <w:jc w:val="both"/>
        <w:rPr>
          <w:b/>
          <w:color w:val="000000" w:themeColor="text1"/>
          <w:sz w:val="28"/>
          <w:szCs w:val="28"/>
        </w:rPr>
      </w:pPr>
      <w:r w:rsidRPr="007F1283">
        <w:rPr>
          <w:b/>
          <w:color w:val="000000" w:themeColor="text1"/>
          <w:sz w:val="28"/>
          <w:szCs w:val="28"/>
        </w:rPr>
        <w:t>A resurrection hermeneutic</w:t>
      </w:r>
    </w:p>
    <w:p w14:paraId="4974B05E" w14:textId="77777777" w:rsidR="007D4F25" w:rsidRPr="007F1283" w:rsidRDefault="007D4F25" w:rsidP="007D4F25">
      <w:pPr>
        <w:jc w:val="both"/>
        <w:rPr>
          <w:color w:val="000000" w:themeColor="text1"/>
        </w:rPr>
      </w:pPr>
    </w:p>
    <w:p w14:paraId="1C9EDEB8" w14:textId="77777777" w:rsidR="007D4F25" w:rsidRPr="007F1283" w:rsidRDefault="007D4F25" w:rsidP="007D4F25">
      <w:pPr>
        <w:jc w:val="both"/>
        <w:rPr>
          <w:color w:val="000000" w:themeColor="text1"/>
        </w:rPr>
      </w:pPr>
      <w:r w:rsidRPr="007F1283">
        <w:rPr>
          <w:color w:val="000000" w:themeColor="text1"/>
        </w:rPr>
        <w:t xml:space="preserve">Every person has a hermeneutic, stated or unstated. The Reformed conviction that scripture is supremely authoritative for our faith and life does not solve the issue of hermeneutics. We all make choices about </w:t>
      </w:r>
      <w:r w:rsidRPr="007F1283">
        <w:rPr>
          <w:i/>
          <w:color w:val="000000" w:themeColor="text1"/>
        </w:rPr>
        <w:t>which</w:t>
      </w:r>
      <w:r w:rsidRPr="007F1283">
        <w:rPr>
          <w:color w:val="000000" w:themeColor="text1"/>
        </w:rPr>
        <w:t xml:space="preserve"> scripture passages to give greater weight, </w:t>
      </w:r>
      <w:r w:rsidRPr="007F1283">
        <w:rPr>
          <w:i/>
          <w:color w:val="000000" w:themeColor="text1"/>
        </w:rPr>
        <w:t>how</w:t>
      </w:r>
      <w:r w:rsidRPr="007F1283">
        <w:rPr>
          <w:color w:val="000000" w:themeColor="text1"/>
        </w:rPr>
        <w:t xml:space="preserve"> to interpret and apply those passages, and </w:t>
      </w:r>
      <w:r w:rsidRPr="007F1283">
        <w:rPr>
          <w:i/>
          <w:color w:val="000000" w:themeColor="text1"/>
        </w:rPr>
        <w:t xml:space="preserve">which </w:t>
      </w:r>
      <w:r w:rsidRPr="007F1283">
        <w:rPr>
          <w:color w:val="000000" w:themeColor="text1"/>
        </w:rPr>
        <w:t>dots to join to create overarching narratives and frameworks for our doctrine and practice.</w:t>
      </w:r>
      <w:r w:rsidRPr="007F1283">
        <w:rPr>
          <w:color w:val="000000" w:themeColor="text1"/>
          <w:vertAlign w:val="superscript"/>
        </w:rPr>
        <w:footnoteReference w:id="30"/>
      </w:r>
      <w:r w:rsidRPr="007F1283">
        <w:rPr>
          <w:color w:val="000000" w:themeColor="text1"/>
        </w:rPr>
        <w:t xml:space="preserve"> </w:t>
      </w:r>
    </w:p>
    <w:p w14:paraId="15D2F7C9" w14:textId="77777777" w:rsidR="007D4F25" w:rsidRPr="007F1283" w:rsidRDefault="007D4F25" w:rsidP="007D4F25">
      <w:pPr>
        <w:jc w:val="both"/>
        <w:rPr>
          <w:color w:val="000000" w:themeColor="text1"/>
        </w:rPr>
      </w:pPr>
    </w:p>
    <w:p w14:paraId="5978A3AC" w14:textId="77777777" w:rsidR="007D4F25" w:rsidRPr="007F1283" w:rsidRDefault="007D4F25" w:rsidP="007D4F25">
      <w:pPr>
        <w:jc w:val="both"/>
        <w:rPr>
          <w:color w:val="000000" w:themeColor="text1"/>
        </w:rPr>
      </w:pPr>
      <w:r w:rsidRPr="007F1283">
        <w:rPr>
          <w:color w:val="000000" w:themeColor="text1"/>
        </w:rPr>
        <w:t xml:space="preserve">The question, then, is </w:t>
      </w:r>
      <w:r w:rsidRPr="007F1283">
        <w:rPr>
          <w:i/>
          <w:color w:val="000000" w:themeColor="text1"/>
        </w:rPr>
        <w:t>how</w:t>
      </w:r>
      <w:r w:rsidRPr="007F1283">
        <w:rPr>
          <w:color w:val="000000" w:themeColor="text1"/>
        </w:rPr>
        <w:t xml:space="preserve"> to faithfully interpret scripture. This is a constant task as the Church in every generation seeks to respond to the issues of its day by listening to the guidance of the Spirit in accordance with the scriptures and with the aid of our tradition.</w:t>
      </w:r>
    </w:p>
    <w:p w14:paraId="042BEC88" w14:textId="77777777" w:rsidR="007D4F25" w:rsidRPr="007F1283" w:rsidRDefault="007D4F25" w:rsidP="007D4F25">
      <w:pPr>
        <w:jc w:val="both"/>
        <w:rPr>
          <w:color w:val="000000" w:themeColor="text1"/>
        </w:rPr>
      </w:pPr>
    </w:p>
    <w:p w14:paraId="241DD83A" w14:textId="77777777" w:rsidR="007D4F25" w:rsidRPr="007F1283" w:rsidRDefault="007D4F25" w:rsidP="007D4F25">
      <w:pPr>
        <w:jc w:val="both"/>
        <w:rPr>
          <w:i/>
          <w:color w:val="000000" w:themeColor="text1"/>
        </w:rPr>
      </w:pPr>
      <w:r w:rsidRPr="007F1283">
        <w:rPr>
          <w:color w:val="000000" w:themeColor="text1"/>
        </w:rPr>
        <w:t xml:space="preserve">Jesus had a hermeneutic. He would frequently enter into dialogue with scribes and Pharisees over the interpretation of particular scriptures. Often he would go beyond the letter of the law to challenge exclusionary or legalistic readings (e.g. Matt 9:14-17, Matt 12:9-14). He gave greater weight to certain parts of scripture (cf. Luke 4:16ff.) over others. In other words, Jesus </w:t>
      </w:r>
      <w:r w:rsidRPr="007F1283">
        <w:rPr>
          <w:color w:val="000000" w:themeColor="text1"/>
        </w:rPr>
        <w:lastRenderedPageBreak/>
        <w:t xml:space="preserve">demonstrated a highly-selective </w:t>
      </w:r>
      <w:r w:rsidRPr="007F1283">
        <w:rPr>
          <w:i/>
          <w:color w:val="000000" w:themeColor="text1"/>
        </w:rPr>
        <w:t>Christ-centred hermeneutic</w:t>
      </w:r>
      <w:r w:rsidRPr="007F1283">
        <w:rPr>
          <w:color w:val="000000" w:themeColor="text1"/>
        </w:rPr>
        <w:t>, interpreting the Hebrew scriptures in light of himself</w:t>
      </w:r>
      <w:r w:rsidRPr="007F1283">
        <w:rPr>
          <w:i/>
          <w:color w:val="000000" w:themeColor="text1"/>
        </w:rPr>
        <w:t>.</w:t>
      </w:r>
    </w:p>
    <w:p w14:paraId="27FCF31A" w14:textId="77777777" w:rsidR="007D4F25" w:rsidRPr="007F1283" w:rsidRDefault="007D4F25" w:rsidP="007D4F25">
      <w:pPr>
        <w:jc w:val="both"/>
        <w:rPr>
          <w:color w:val="000000" w:themeColor="text1"/>
        </w:rPr>
      </w:pPr>
    </w:p>
    <w:p w14:paraId="2E06F19B" w14:textId="3A61F1D9" w:rsidR="007D4F25" w:rsidRPr="007F1283" w:rsidRDefault="007D4F25" w:rsidP="007D4F25">
      <w:pPr>
        <w:jc w:val="both"/>
        <w:rPr>
          <w:color w:val="000000" w:themeColor="text1"/>
        </w:rPr>
      </w:pPr>
      <w:r w:rsidRPr="007F1283">
        <w:rPr>
          <w:color w:val="000000" w:themeColor="text1"/>
        </w:rPr>
        <w:t>This is most clear in the Road to Emmaus story (Luke 24:13-35), in which the risen Jesus journeys unrecognised with two disciples on their way to Emmaus. They are still mourning his death and his missing body. Responding to their grief, Jesus engages in a process of scriptural interpretation: ‘Then beginning with Moses and all the prophets, he interpreted to them the things about himself in all the scriptures.’</w:t>
      </w:r>
    </w:p>
    <w:p w14:paraId="5B6F93E2" w14:textId="77777777" w:rsidR="007D4F25" w:rsidRPr="007F1283" w:rsidRDefault="007D4F25" w:rsidP="007D4F25">
      <w:pPr>
        <w:jc w:val="both"/>
        <w:rPr>
          <w:i/>
          <w:color w:val="000000" w:themeColor="text1"/>
        </w:rPr>
      </w:pPr>
    </w:p>
    <w:p w14:paraId="6289375E" w14:textId="19A65002" w:rsidR="007D4F25" w:rsidRPr="007F1283" w:rsidRDefault="007D4F25" w:rsidP="007D4F25">
      <w:pPr>
        <w:jc w:val="both"/>
        <w:rPr>
          <w:color w:val="000000" w:themeColor="text1"/>
        </w:rPr>
      </w:pPr>
      <w:r w:rsidRPr="007F1283">
        <w:rPr>
          <w:color w:val="000000" w:themeColor="text1"/>
        </w:rPr>
        <w:t xml:space="preserve">The key thing to note here is that  the risen Jesus is the starting point for interpreting the Bible. We read the Bible through a </w:t>
      </w:r>
      <w:r w:rsidRPr="007F1283">
        <w:rPr>
          <w:i/>
          <w:color w:val="000000" w:themeColor="text1"/>
        </w:rPr>
        <w:t>resurrection lens</w:t>
      </w:r>
      <w:r w:rsidRPr="007F1283">
        <w:rPr>
          <w:color w:val="000000" w:themeColor="text1"/>
        </w:rPr>
        <w:t xml:space="preserve">. Developing a resurrection hermeneutic has profound implications for the Church’s ethic of sexuality and gender. </w:t>
      </w:r>
    </w:p>
    <w:p w14:paraId="451DEB10" w14:textId="77777777" w:rsidR="007D4F25" w:rsidRPr="007F1283" w:rsidRDefault="007D4F25" w:rsidP="007D4F25">
      <w:pPr>
        <w:jc w:val="both"/>
        <w:rPr>
          <w:color w:val="000000" w:themeColor="text1"/>
        </w:rPr>
      </w:pPr>
    </w:p>
    <w:p w14:paraId="27CF9D74" w14:textId="77777777" w:rsidR="007D4F25" w:rsidRPr="00DC2DF7" w:rsidRDefault="007D4F25" w:rsidP="00DC2DF7">
      <w:pPr>
        <w:jc w:val="both"/>
        <w:rPr>
          <w:bCs/>
          <w:i/>
          <w:iCs/>
          <w:color w:val="000000" w:themeColor="text1"/>
        </w:rPr>
      </w:pPr>
      <w:r w:rsidRPr="00DC2DF7">
        <w:rPr>
          <w:bCs/>
          <w:i/>
          <w:iCs/>
          <w:color w:val="000000" w:themeColor="text1"/>
        </w:rPr>
        <w:t>1. Interpretation as living testimony of the Spirit</w:t>
      </w:r>
    </w:p>
    <w:p w14:paraId="62D84068" w14:textId="77777777" w:rsidR="007D4F25" w:rsidRPr="007F1283" w:rsidRDefault="007D4F25" w:rsidP="007D4F25">
      <w:pPr>
        <w:jc w:val="both"/>
        <w:rPr>
          <w:b/>
          <w:color w:val="000000" w:themeColor="text1"/>
        </w:rPr>
      </w:pPr>
    </w:p>
    <w:p w14:paraId="1D2BCABF" w14:textId="24DC9663" w:rsidR="007D4F25" w:rsidRPr="007F1283" w:rsidRDefault="007D4F25" w:rsidP="007D4F25">
      <w:pPr>
        <w:jc w:val="both"/>
        <w:rPr>
          <w:color w:val="000000" w:themeColor="text1"/>
        </w:rPr>
      </w:pPr>
      <w:r w:rsidRPr="007F1283">
        <w:rPr>
          <w:color w:val="000000" w:themeColor="text1"/>
        </w:rPr>
        <w:t>Significantly, the disciples were unable to join the dots together themselves. Their eyes were closed until the living Christ interpreted the scriptures to them. Like the disciples on the road to Emmaus, we too are ‘on the way’, seeking to understand our faith in the risen Christ. Faithful interpretation of scripture is dependent on Christ himself opening our eyes by the Holy Spirit. For this reason, John Calvin stressed that the authority of scripture is dependent on the living testimony of the Holy Spirit.</w:t>
      </w:r>
      <w:r w:rsidRPr="007F1283">
        <w:rPr>
          <w:color w:val="000000" w:themeColor="text1"/>
          <w:vertAlign w:val="superscript"/>
        </w:rPr>
        <w:footnoteReference w:id="31"/>
      </w:r>
    </w:p>
    <w:p w14:paraId="340DC99E" w14:textId="77777777" w:rsidR="007D4F25" w:rsidRPr="007F1283" w:rsidRDefault="007D4F25" w:rsidP="007D4F25">
      <w:pPr>
        <w:jc w:val="both"/>
        <w:rPr>
          <w:color w:val="000000" w:themeColor="text1"/>
        </w:rPr>
      </w:pPr>
    </w:p>
    <w:p w14:paraId="0FFC9023" w14:textId="7A080EEA" w:rsidR="007D4F25" w:rsidRPr="007F1283" w:rsidRDefault="007D4F25" w:rsidP="007D4F25">
      <w:pPr>
        <w:jc w:val="both"/>
        <w:rPr>
          <w:color w:val="000000" w:themeColor="text1"/>
        </w:rPr>
      </w:pPr>
      <w:r w:rsidRPr="007F1283">
        <w:rPr>
          <w:color w:val="000000" w:themeColor="text1"/>
        </w:rPr>
        <w:t>A Church that takes into account the living testimony of the Holy Spirit will refrain from enshrining a fixed, once-and-for-all, plain meaning of scripture with its own ‘self-evident’ logic. It will recognise the perspectival nature of</w:t>
      </w:r>
      <w:r w:rsidR="004B05F0" w:rsidRPr="007F1283">
        <w:rPr>
          <w:color w:val="000000" w:themeColor="text1"/>
        </w:rPr>
        <w:t xml:space="preserve"> all understandings of the </w:t>
      </w:r>
      <w:r w:rsidRPr="007F1283">
        <w:rPr>
          <w:color w:val="000000" w:themeColor="text1"/>
        </w:rPr>
        <w:t>truth and the contestability of interpretations of truth.</w:t>
      </w:r>
      <w:r w:rsidRPr="007F1283">
        <w:rPr>
          <w:color w:val="000000" w:themeColor="text1"/>
          <w:vertAlign w:val="superscript"/>
        </w:rPr>
        <w:footnoteReference w:id="32"/>
      </w:r>
      <w:r w:rsidRPr="007F1283">
        <w:rPr>
          <w:color w:val="000000" w:themeColor="text1"/>
        </w:rPr>
        <w:t xml:space="preserve"> </w:t>
      </w:r>
    </w:p>
    <w:p w14:paraId="67324B1B" w14:textId="77777777" w:rsidR="007D4F25" w:rsidRPr="007F1283" w:rsidRDefault="007D4F25" w:rsidP="007D4F25">
      <w:pPr>
        <w:jc w:val="both"/>
        <w:rPr>
          <w:color w:val="000000" w:themeColor="text1"/>
        </w:rPr>
      </w:pPr>
    </w:p>
    <w:p w14:paraId="0F783416" w14:textId="799D8A9F" w:rsidR="007D4F25" w:rsidRPr="007F1283" w:rsidRDefault="007D4F25" w:rsidP="007D4F25">
      <w:pPr>
        <w:jc w:val="both"/>
        <w:rPr>
          <w:color w:val="000000" w:themeColor="text1"/>
        </w:rPr>
      </w:pPr>
      <w:r w:rsidRPr="007F1283">
        <w:rPr>
          <w:color w:val="000000" w:themeColor="text1"/>
        </w:rPr>
        <w:t xml:space="preserve">Just because the Church’s doctrine or tradition has tended to historically favour one interpretation does not discount the possibility of other valid interpretations. Nor does it mean that the Church has not been mistaken, blinded by its own culturally-bound perspectives and limited understanding. At the very </w:t>
      </w:r>
      <w:r w:rsidRPr="007F1283">
        <w:rPr>
          <w:i/>
          <w:color w:val="000000" w:themeColor="text1"/>
        </w:rPr>
        <w:t>least</w:t>
      </w:r>
      <w:r w:rsidRPr="007F1283">
        <w:rPr>
          <w:color w:val="000000" w:themeColor="text1"/>
        </w:rPr>
        <w:t>, we must remain open to the fact that the Church may have focused too much on one reading of the scriptures in its interpretation of issues of sexuality and gender.</w:t>
      </w:r>
    </w:p>
    <w:p w14:paraId="1172EB57" w14:textId="77777777" w:rsidR="007D4F25" w:rsidRPr="007F1283" w:rsidRDefault="007D4F25" w:rsidP="007D4F25">
      <w:pPr>
        <w:jc w:val="both"/>
        <w:rPr>
          <w:color w:val="000000" w:themeColor="text1"/>
        </w:rPr>
      </w:pPr>
    </w:p>
    <w:p w14:paraId="00BB16B1" w14:textId="77777777" w:rsidR="007D4F25" w:rsidRPr="007F1283" w:rsidRDefault="007D4F25" w:rsidP="007D4F25">
      <w:pPr>
        <w:jc w:val="both"/>
        <w:rPr>
          <w:color w:val="000000" w:themeColor="text1"/>
        </w:rPr>
      </w:pPr>
      <w:r w:rsidRPr="007F1283">
        <w:rPr>
          <w:color w:val="000000" w:themeColor="text1"/>
        </w:rPr>
        <w:t>Such an admission would hardly be scandalous: orthodox Christian doctrine has often changed in response to new developments in science and culture. Take, for example, the scientific discovery that the world revolves around the sun; or that life on earth evolved over billions of years rather than seven literal days of creation.</w:t>
      </w:r>
      <w:r w:rsidRPr="007F1283">
        <w:rPr>
          <w:color w:val="000000" w:themeColor="text1"/>
          <w:vertAlign w:val="superscript"/>
        </w:rPr>
        <w:footnoteReference w:id="33"/>
      </w:r>
      <w:r w:rsidRPr="007F1283">
        <w:rPr>
          <w:color w:val="000000" w:themeColor="text1"/>
        </w:rPr>
        <w:t xml:space="preserve"> Consider the abolition of slavery or more recently the decision to open ordination to women. In each of these cases, changing circumstances led the Church to revise its traditional interpretation of scripture. Far from being a betrayal of the authority of scripture, our understanding has deepened and matured.</w:t>
      </w:r>
    </w:p>
    <w:p w14:paraId="24622C9D" w14:textId="77777777" w:rsidR="007D4F25" w:rsidRPr="007F1283" w:rsidRDefault="007D4F25" w:rsidP="007D4F25">
      <w:pPr>
        <w:ind w:left="720"/>
        <w:jc w:val="both"/>
        <w:rPr>
          <w:b/>
          <w:color w:val="000000" w:themeColor="text1"/>
        </w:rPr>
      </w:pPr>
    </w:p>
    <w:p w14:paraId="6556523C" w14:textId="77777777" w:rsidR="007D4F25" w:rsidRPr="00DC2DF7" w:rsidRDefault="007D4F25" w:rsidP="00DC2DF7">
      <w:pPr>
        <w:jc w:val="both"/>
        <w:rPr>
          <w:bCs/>
          <w:i/>
          <w:iCs/>
          <w:color w:val="000000" w:themeColor="text1"/>
        </w:rPr>
      </w:pPr>
      <w:r w:rsidRPr="00DC2DF7">
        <w:rPr>
          <w:bCs/>
          <w:i/>
          <w:iCs/>
          <w:color w:val="000000" w:themeColor="text1"/>
        </w:rPr>
        <w:lastRenderedPageBreak/>
        <w:t>2. Scripture as memoir</w:t>
      </w:r>
    </w:p>
    <w:p w14:paraId="3B9DACEA" w14:textId="77777777" w:rsidR="007D4F25" w:rsidRPr="007F1283" w:rsidRDefault="007D4F25" w:rsidP="007D4F25">
      <w:pPr>
        <w:ind w:left="720"/>
        <w:jc w:val="both"/>
        <w:rPr>
          <w:b/>
          <w:color w:val="000000" w:themeColor="text1"/>
        </w:rPr>
      </w:pPr>
    </w:p>
    <w:p w14:paraId="2AFF5863" w14:textId="2CE2DFA9" w:rsidR="007D4F25" w:rsidRPr="007F1283" w:rsidRDefault="007D4F25" w:rsidP="007D4F25">
      <w:pPr>
        <w:jc w:val="both"/>
        <w:rPr>
          <w:color w:val="000000" w:themeColor="text1"/>
        </w:rPr>
      </w:pPr>
      <w:r w:rsidRPr="007F1283">
        <w:rPr>
          <w:color w:val="000000" w:themeColor="text1"/>
        </w:rPr>
        <w:t xml:space="preserve">On the Road to Emmaus, the risen Christ interprets the Hebrew scriptures through the lens of resurrection. In other words, scripture is read </w:t>
      </w:r>
      <w:r w:rsidRPr="007F1283">
        <w:rPr>
          <w:i/>
          <w:color w:val="000000" w:themeColor="text1"/>
        </w:rPr>
        <w:t>backwards</w:t>
      </w:r>
      <w:r w:rsidRPr="007F1283">
        <w:rPr>
          <w:color w:val="000000" w:themeColor="text1"/>
        </w:rPr>
        <w:t xml:space="preserve"> like a memoir. A memoir is written towards the </w:t>
      </w:r>
      <w:r w:rsidRPr="007F1283">
        <w:rPr>
          <w:i/>
          <w:color w:val="000000" w:themeColor="text1"/>
        </w:rPr>
        <w:t>end</w:t>
      </w:r>
      <w:r w:rsidRPr="007F1283">
        <w:rPr>
          <w:color w:val="000000" w:themeColor="text1"/>
        </w:rPr>
        <w:t xml:space="preserve"> of someone’s life and consists in </w:t>
      </w:r>
      <w:r w:rsidRPr="007F1283">
        <w:rPr>
          <w:i/>
          <w:color w:val="000000" w:themeColor="text1"/>
        </w:rPr>
        <w:t xml:space="preserve">retrospectively </w:t>
      </w:r>
      <w:r w:rsidRPr="007F1283">
        <w:rPr>
          <w:color w:val="000000" w:themeColor="text1"/>
        </w:rPr>
        <w:t xml:space="preserve">making sense of the events of that life. This perspective can </w:t>
      </w:r>
      <w:r w:rsidRPr="007F1283">
        <w:rPr>
          <w:i/>
          <w:color w:val="000000" w:themeColor="text1"/>
        </w:rPr>
        <w:t>only</w:t>
      </w:r>
      <w:r w:rsidRPr="007F1283">
        <w:rPr>
          <w:color w:val="000000" w:themeColor="text1"/>
        </w:rPr>
        <w:t xml:space="preserve"> be gained at the end by looking back and seeing the trends that led to that point.</w:t>
      </w:r>
      <w:r w:rsidRPr="007F1283">
        <w:rPr>
          <w:color w:val="000000" w:themeColor="text1"/>
          <w:vertAlign w:val="superscript"/>
        </w:rPr>
        <w:footnoteReference w:id="34"/>
      </w:r>
      <w:r w:rsidRPr="007F1283">
        <w:rPr>
          <w:color w:val="000000" w:themeColor="text1"/>
        </w:rPr>
        <w:t xml:space="preserve"> </w:t>
      </w:r>
    </w:p>
    <w:p w14:paraId="20EE9D77" w14:textId="77777777" w:rsidR="007D4F25" w:rsidRPr="007F1283" w:rsidRDefault="007D4F25" w:rsidP="007D4F25">
      <w:pPr>
        <w:jc w:val="both"/>
        <w:rPr>
          <w:color w:val="000000" w:themeColor="text1"/>
        </w:rPr>
      </w:pPr>
    </w:p>
    <w:p w14:paraId="7D1BAD5A" w14:textId="2B27D176" w:rsidR="007D4F25" w:rsidRPr="007F1283" w:rsidRDefault="007D4F25" w:rsidP="007D4F25">
      <w:pPr>
        <w:jc w:val="both"/>
        <w:rPr>
          <w:color w:val="000000" w:themeColor="text1"/>
        </w:rPr>
      </w:pPr>
      <w:r w:rsidRPr="007F1283">
        <w:rPr>
          <w:color w:val="000000" w:themeColor="text1"/>
        </w:rPr>
        <w:t xml:space="preserve">It is not only Jesus who reads scripture in this way. The resurrection of Jesus from the dead was an inexplicable, world-shattering event. The New Testament authors try to make sense of this life-changing reality by reaching back into the Hebrew scriptures, finding images and metaphors, expanding upon them, and </w:t>
      </w:r>
      <w:r w:rsidR="004B05F0" w:rsidRPr="007F1283">
        <w:rPr>
          <w:color w:val="000000" w:themeColor="text1"/>
        </w:rPr>
        <w:t xml:space="preserve">understanding them afresh under the guidance of the Spirit and in the </w:t>
      </w:r>
      <w:r w:rsidRPr="007F1283">
        <w:rPr>
          <w:color w:val="000000" w:themeColor="text1"/>
        </w:rPr>
        <w:t xml:space="preserve">light of Christ. </w:t>
      </w:r>
    </w:p>
    <w:p w14:paraId="29D64EB5" w14:textId="77777777" w:rsidR="007D4F25" w:rsidRPr="007F1283" w:rsidRDefault="007D4F25" w:rsidP="007D4F25">
      <w:pPr>
        <w:jc w:val="both"/>
        <w:rPr>
          <w:color w:val="000000" w:themeColor="text1"/>
        </w:rPr>
      </w:pPr>
    </w:p>
    <w:p w14:paraId="1D9636B8" w14:textId="2E14AF85" w:rsidR="007D4F25" w:rsidRPr="007F1283" w:rsidRDefault="007D4F25" w:rsidP="007D4F25">
      <w:pPr>
        <w:jc w:val="both"/>
        <w:rPr>
          <w:color w:val="000000" w:themeColor="text1"/>
        </w:rPr>
      </w:pPr>
      <w:r w:rsidRPr="007F1283">
        <w:rPr>
          <w:color w:val="000000" w:themeColor="text1"/>
        </w:rPr>
        <w:t xml:space="preserve">David </w:t>
      </w:r>
      <w:proofErr w:type="spellStart"/>
      <w:r w:rsidRPr="007F1283">
        <w:rPr>
          <w:color w:val="000000" w:themeColor="text1"/>
        </w:rPr>
        <w:t>Gushee</w:t>
      </w:r>
      <w:proofErr w:type="spellEnd"/>
      <w:r w:rsidRPr="007F1283">
        <w:rPr>
          <w:color w:val="000000" w:themeColor="text1"/>
        </w:rPr>
        <w:t xml:space="preserve"> talks about paradigm-leaps in the church’s interpretation of scripture that arise from surprising and transformative encounters with the living God.</w:t>
      </w:r>
      <w:r w:rsidRPr="007F1283">
        <w:rPr>
          <w:color w:val="000000" w:themeColor="text1"/>
          <w:vertAlign w:val="superscript"/>
        </w:rPr>
        <w:footnoteReference w:id="35"/>
      </w:r>
      <w:r w:rsidRPr="007F1283">
        <w:rPr>
          <w:color w:val="000000" w:themeColor="text1"/>
        </w:rPr>
        <w:t xml:space="preserve"> Paul’s transformative encounter with Jesus on the road to Damascus led to a complete paradigm shift in his reading and use of scripture.</w:t>
      </w:r>
      <w:r w:rsidRPr="007F1283">
        <w:rPr>
          <w:color w:val="000000" w:themeColor="text1"/>
          <w:vertAlign w:val="superscript"/>
        </w:rPr>
        <w:footnoteReference w:id="36"/>
      </w:r>
      <w:r w:rsidRPr="007F1283">
        <w:rPr>
          <w:color w:val="000000" w:themeColor="text1"/>
        </w:rPr>
        <w:t xml:space="preserve"> The resurrection of Christ has, for him, ushered in a new creation.</w:t>
      </w:r>
    </w:p>
    <w:p w14:paraId="26BDF6D4" w14:textId="77777777" w:rsidR="007D4F25" w:rsidRPr="007F1283" w:rsidRDefault="007D4F25" w:rsidP="007D4F25">
      <w:pPr>
        <w:jc w:val="both"/>
        <w:rPr>
          <w:color w:val="000000" w:themeColor="text1"/>
        </w:rPr>
      </w:pPr>
    </w:p>
    <w:p w14:paraId="60B2EF84" w14:textId="0D894AA1" w:rsidR="007D4F25" w:rsidRPr="007F1283" w:rsidRDefault="007D4F25" w:rsidP="007D4F25">
      <w:pPr>
        <w:jc w:val="both"/>
        <w:rPr>
          <w:color w:val="000000" w:themeColor="text1"/>
        </w:rPr>
      </w:pPr>
      <w:r w:rsidRPr="007F1283">
        <w:rPr>
          <w:color w:val="000000" w:themeColor="text1"/>
        </w:rPr>
        <w:t xml:space="preserve">Douglas Campbell makes a convincing argument that this new paradigm can be summed up by Paul’s famous ethical statement in Galatians 3: </w:t>
      </w:r>
      <w:r w:rsidRPr="007F1283">
        <w:rPr>
          <w:i/>
          <w:color w:val="000000" w:themeColor="text1"/>
        </w:rPr>
        <w:t>There is no longer Jew or Greek; there is no longer slave or free; there is no longer male and female, for all of you are one in Christ Jesus</w:t>
      </w:r>
      <w:r w:rsidRPr="007F1283">
        <w:rPr>
          <w:color w:val="000000" w:themeColor="text1"/>
        </w:rPr>
        <w:t>.</w:t>
      </w:r>
      <w:r w:rsidRPr="007F1283">
        <w:rPr>
          <w:color w:val="000000" w:themeColor="text1"/>
          <w:vertAlign w:val="superscript"/>
        </w:rPr>
        <w:footnoteReference w:id="37"/>
      </w:r>
      <w:r w:rsidRPr="007F1283">
        <w:rPr>
          <w:color w:val="000000" w:themeColor="text1"/>
        </w:rPr>
        <w:t xml:space="preserve"> While there is debate in biblical scholarship as to whether this list should be treated exhaustively or not, the underlying point is that the categories of the old Adam, by which we define our existence now, are </w:t>
      </w:r>
      <w:r w:rsidRPr="007F1283">
        <w:rPr>
          <w:i/>
          <w:color w:val="000000" w:themeColor="text1"/>
        </w:rPr>
        <w:t>no longer ultimately definitive for someone’s identity or grounds for exclusion from the Church.</w:t>
      </w:r>
      <w:r w:rsidRPr="007F1283">
        <w:rPr>
          <w:color w:val="000000" w:themeColor="text1"/>
        </w:rPr>
        <w:t xml:space="preserve"> Life in the new Adam supersedes the old.</w:t>
      </w:r>
      <w:r w:rsidRPr="007F1283">
        <w:rPr>
          <w:color w:val="000000" w:themeColor="text1"/>
          <w:vertAlign w:val="superscript"/>
        </w:rPr>
        <w:footnoteReference w:id="38"/>
      </w:r>
    </w:p>
    <w:p w14:paraId="4B9B8640" w14:textId="77777777" w:rsidR="007D4F25" w:rsidRPr="007F1283" w:rsidRDefault="007D4F25" w:rsidP="007D4F25">
      <w:pPr>
        <w:jc w:val="both"/>
        <w:rPr>
          <w:color w:val="000000" w:themeColor="text1"/>
        </w:rPr>
      </w:pPr>
    </w:p>
    <w:p w14:paraId="287A2349" w14:textId="3F588EBA" w:rsidR="007D4F25" w:rsidRPr="007F1283" w:rsidRDefault="007D4F25" w:rsidP="007D4F25">
      <w:pPr>
        <w:jc w:val="both"/>
        <w:rPr>
          <w:color w:val="000000" w:themeColor="text1"/>
        </w:rPr>
      </w:pPr>
      <w:r w:rsidRPr="007F1283">
        <w:rPr>
          <w:color w:val="000000" w:themeColor="text1"/>
        </w:rPr>
        <w:t xml:space="preserve">Paul is clear that this new reality ‘in Christ’ is not </w:t>
      </w:r>
      <w:r w:rsidRPr="007F1283">
        <w:rPr>
          <w:i/>
          <w:color w:val="000000" w:themeColor="text1"/>
        </w:rPr>
        <w:t>only</w:t>
      </w:r>
      <w:r w:rsidRPr="007F1283">
        <w:rPr>
          <w:color w:val="000000" w:themeColor="text1"/>
        </w:rPr>
        <w:t xml:space="preserve"> an undoing of humanity’s sinful rebellion: it is the fulfilment of God’s original intention for creation all along! Christ is God’s wisdom (1 Cor 1:24) and ‘the creative principle at the foundation of the </w:t>
      </w:r>
      <w:r w:rsidRPr="007F1283">
        <w:rPr>
          <w:i/>
          <w:color w:val="000000" w:themeColor="text1"/>
        </w:rPr>
        <w:t>present</w:t>
      </w:r>
      <w:r w:rsidRPr="007F1283">
        <w:rPr>
          <w:color w:val="000000" w:themeColor="text1"/>
        </w:rPr>
        <w:t xml:space="preserve"> universe; the one through whom, by whom and for whom all things were made’ (cf. Col 1:15-16, 1 Cor 8:6).</w:t>
      </w:r>
      <w:r w:rsidRPr="007F1283">
        <w:rPr>
          <w:color w:val="000000" w:themeColor="text1"/>
          <w:vertAlign w:val="superscript"/>
        </w:rPr>
        <w:footnoteReference w:id="39"/>
      </w:r>
      <w:r w:rsidRPr="007F1283">
        <w:rPr>
          <w:color w:val="000000" w:themeColor="text1"/>
        </w:rPr>
        <w:t xml:space="preserve"> </w:t>
      </w:r>
    </w:p>
    <w:p w14:paraId="70A87FC8" w14:textId="77777777" w:rsidR="007D4F25" w:rsidRPr="007F1283" w:rsidRDefault="007D4F25" w:rsidP="007D4F25">
      <w:pPr>
        <w:jc w:val="both"/>
        <w:rPr>
          <w:color w:val="000000" w:themeColor="text1"/>
        </w:rPr>
      </w:pPr>
    </w:p>
    <w:p w14:paraId="0B3B1AD0" w14:textId="2B486AD4" w:rsidR="007D4F25" w:rsidRPr="007F1283" w:rsidRDefault="007D4F25" w:rsidP="007D4F25">
      <w:pPr>
        <w:jc w:val="both"/>
        <w:rPr>
          <w:color w:val="000000" w:themeColor="text1"/>
        </w:rPr>
      </w:pPr>
      <w:r w:rsidRPr="007F1283">
        <w:rPr>
          <w:color w:val="000000" w:themeColor="text1"/>
        </w:rPr>
        <w:t xml:space="preserve">If we follow Paul (and Jesus) in </w:t>
      </w:r>
      <w:r w:rsidRPr="007F1283">
        <w:rPr>
          <w:i/>
          <w:color w:val="000000" w:themeColor="text1"/>
        </w:rPr>
        <w:t>beginning</w:t>
      </w:r>
      <w:r w:rsidRPr="007F1283">
        <w:rPr>
          <w:color w:val="000000" w:themeColor="text1"/>
        </w:rPr>
        <w:t xml:space="preserve"> with the new creation in Christ and applying a </w:t>
      </w:r>
      <w:r w:rsidRPr="007F1283">
        <w:rPr>
          <w:i/>
          <w:color w:val="000000" w:themeColor="text1"/>
        </w:rPr>
        <w:t>memoir</w:t>
      </w:r>
      <w:r w:rsidRPr="007F1283">
        <w:rPr>
          <w:color w:val="000000" w:themeColor="text1"/>
        </w:rPr>
        <w:t xml:space="preserve"> method to our interpretation of scripture, then we must be wary of constructing an ethic of sexuality and gender that </w:t>
      </w:r>
      <w:r w:rsidRPr="007F1283">
        <w:rPr>
          <w:i/>
          <w:color w:val="000000" w:themeColor="text1"/>
        </w:rPr>
        <w:t>begins</w:t>
      </w:r>
      <w:r w:rsidRPr="007F1283">
        <w:rPr>
          <w:color w:val="000000" w:themeColor="text1"/>
        </w:rPr>
        <w:t xml:space="preserve"> with the old creation and </w:t>
      </w:r>
      <w:r w:rsidRPr="007F1283">
        <w:rPr>
          <w:i/>
          <w:color w:val="000000" w:themeColor="text1"/>
        </w:rPr>
        <w:t>then</w:t>
      </w:r>
      <w:r w:rsidRPr="007F1283">
        <w:rPr>
          <w:color w:val="000000" w:themeColor="text1"/>
        </w:rPr>
        <w:t xml:space="preserve"> proceeds to write this ordering of things into the </w:t>
      </w:r>
      <w:r w:rsidRPr="007F1283">
        <w:rPr>
          <w:i/>
          <w:color w:val="000000" w:themeColor="text1"/>
        </w:rPr>
        <w:t>new creation</w:t>
      </w:r>
      <w:r w:rsidRPr="007F1283">
        <w:rPr>
          <w:color w:val="000000" w:themeColor="text1"/>
        </w:rPr>
        <w:t xml:space="preserve">. For instance, in Genesis 1-3, it is easy to read a gender complementarity into the order of creation and from here to assume that this is God’s ultimate, intended order of things. </w:t>
      </w:r>
    </w:p>
    <w:p w14:paraId="75805A7A" w14:textId="77777777" w:rsidR="007D4F25" w:rsidRPr="007F1283" w:rsidRDefault="007D4F25" w:rsidP="007D4F25">
      <w:pPr>
        <w:jc w:val="both"/>
        <w:rPr>
          <w:color w:val="000000" w:themeColor="text1"/>
        </w:rPr>
      </w:pPr>
    </w:p>
    <w:p w14:paraId="581BEE02" w14:textId="1C53ECB0" w:rsidR="007D4F25" w:rsidRPr="007F1283" w:rsidRDefault="007D4F25" w:rsidP="007D4F25">
      <w:pPr>
        <w:jc w:val="both"/>
        <w:rPr>
          <w:color w:val="000000" w:themeColor="text1"/>
        </w:rPr>
      </w:pPr>
      <w:r w:rsidRPr="007F1283">
        <w:rPr>
          <w:color w:val="000000" w:themeColor="text1"/>
        </w:rPr>
        <w:t>But to our peril. A theological ethic of creation, which proceeds on the grounds that ‘this is the way things have been made by God’, has been used to damning effect to justify, for example, slavery in the British Empire. On these grounds, Dietrich Bonhoeffer abandoned Luther’s language of ‘orders of creation’.</w:t>
      </w:r>
      <w:r w:rsidRPr="007F1283">
        <w:rPr>
          <w:color w:val="000000" w:themeColor="text1"/>
          <w:vertAlign w:val="superscript"/>
        </w:rPr>
        <w:footnoteReference w:id="40"/>
      </w:r>
      <w:r w:rsidRPr="007F1283">
        <w:rPr>
          <w:color w:val="000000" w:themeColor="text1"/>
        </w:rPr>
        <w:t xml:space="preserve"> </w:t>
      </w:r>
    </w:p>
    <w:p w14:paraId="4286ADF3" w14:textId="77777777" w:rsidR="007D4F25" w:rsidRPr="007F1283" w:rsidRDefault="007D4F25" w:rsidP="007D4F25">
      <w:pPr>
        <w:jc w:val="both"/>
        <w:rPr>
          <w:color w:val="000000" w:themeColor="text1"/>
        </w:rPr>
      </w:pPr>
    </w:p>
    <w:p w14:paraId="43CC1A58" w14:textId="63CD2526" w:rsidR="007D4F25" w:rsidRPr="007F1283" w:rsidRDefault="007D4F25" w:rsidP="007D4F25">
      <w:pPr>
        <w:jc w:val="both"/>
        <w:rPr>
          <w:color w:val="000000" w:themeColor="text1"/>
        </w:rPr>
      </w:pPr>
      <w:r w:rsidRPr="007F1283">
        <w:rPr>
          <w:color w:val="000000" w:themeColor="text1"/>
        </w:rPr>
        <w:t xml:space="preserve">In short, while a traditionalist binary view of sexuality and gender is derived from scripture, Paul’s ethic of the new creation (as outlined in Gal 3:28) </w:t>
      </w:r>
      <w:r w:rsidRPr="007F1283">
        <w:rPr>
          <w:i/>
          <w:color w:val="000000" w:themeColor="text1"/>
        </w:rPr>
        <w:t>at the very least</w:t>
      </w:r>
      <w:r w:rsidRPr="007F1283">
        <w:rPr>
          <w:color w:val="000000" w:themeColor="text1"/>
        </w:rPr>
        <w:t xml:space="preserve"> gives us good reason to question whether this is indeed the way God intended things to be in the fullness of time.</w:t>
      </w:r>
    </w:p>
    <w:p w14:paraId="081B7E5C" w14:textId="77777777" w:rsidR="007D4F25" w:rsidRPr="007F1283" w:rsidRDefault="007D4F25" w:rsidP="007D4F25">
      <w:pPr>
        <w:jc w:val="both"/>
        <w:rPr>
          <w:color w:val="000000" w:themeColor="text1"/>
        </w:rPr>
      </w:pPr>
    </w:p>
    <w:p w14:paraId="21CB417A" w14:textId="447486E8" w:rsidR="007D4F25" w:rsidRPr="007F1283" w:rsidRDefault="007D4F25" w:rsidP="007D4F25">
      <w:pPr>
        <w:jc w:val="both"/>
        <w:rPr>
          <w:color w:val="000000" w:themeColor="text1"/>
        </w:rPr>
      </w:pPr>
      <w:r w:rsidRPr="007F1283">
        <w:rPr>
          <w:color w:val="000000" w:themeColor="text1"/>
        </w:rPr>
        <w:t xml:space="preserve">What are we to make, though, of the passages in Paul’s letters that seem to endorse a traditionalist Christian ethic of sexuality and gender? Douglas Campbell argues that some of Paul’s statements warrant reinterpretation </w:t>
      </w:r>
      <w:r w:rsidRPr="007F1283">
        <w:rPr>
          <w:i/>
          <w:color w:val="000000" w:themeColor="text1"/>
        </w:rPr>
        <w:t>on the basis of Paul’s own argument.</w:t>
      </w:r>
      <w:r w:rsidRPr="007F1283">
        <w:rPr>
          <w:color w:val="000000" w:themeColor="text1"/>
          <w:vertAlign w:val="superscript"/>
        </w:rPr>
        <w:footnoteReference w:id="41"/>
      </w:r>
      <w:r w:rsidRPr="007F1283">
        <w:rPr>
          <w:i/>
          <w:color w:val="000000" w:themeColor="text1"/>
        </w:rPr>
        <w:t xml:space="preserve"> </w:t>
      </w:r>
      <w:r w:rsidRPr="007F1283">
        <w:rPr>
          <w:color w:val="000000" w:themeColor="text1"/>
        </w:rPr>
        <w:t>Paul’s language of the ordering of the new creation ‘in Christ’ provides hermeneutical justification for challenging his apparent endorsement of the old ordering of creation (e.g. slavery or a patriarchal view of marriage). It is not contentious to challenge Paul’s views on slavery along these lines and yet the Church has been hesitant to apply the same hermeneutical logic to issues of sexuality and gender.</w:t>
      </w:r>
    </w:p>
    <w:p w14:paraId="0D9BA5B0" w14:textId="77777777" w:rsidR="007D4F25" w:rsidRPr="007F1283" w:rsidRDefault="007D4F25" w:rsidP="007D4F25">
      <w:pPr>
        <w:jc w:val="both"/>
        <w:rPr>
          <w:color w:val="000000" w:themeColor="text1"/>
        </w:rPr>
      </w:pPr>
    </w:p>
    <w:p w14:paraId="2730058A" w14:textId="3D331787" w:rsidR="007D4F25" w:rsidRPr="00DC2DF7" w:rsidRDefault="007D4F25" w:rsidP="00DC2DF7">
      <w:pPr>
        <w:jc w:val="both"/>
        <w:rPr>
          <w:bCs/>
          <w:i/>
          <w:iCs/>
          <w:color w:val="000000" w:themeColor="text1"/>
        </w:rPr>
      </w:pPr>
      <w:r w:rsidRPr="00DC2DF7">
        <w:rPr>
          <w:bCs/>
          <w:i/>
          <w:iCs/>
          <w:color w:val="000000" w:themeColor="text1"/>
        </w:rPr>
        <w:t xml:space="preserve">3. Marriage as an image of God’s self-giving love </w:t>
      </w:r>
    </w:p>
    <w:p w14:paraId="7851463D" w14:textId="77777777" w:rsidR="007D4F25" w:rsidRPr="007F1283" w:rsidRDefault="007D4F25" w:rsidP="007D4F25">
      <w:pPr>
        <w:jc w:val="both"/>
        <w:rPr>
          <w:b/>
          <w:color w:val="000000" w:themeColor="text1"/>
        </w:rPr>
      </w:pPr>
    </w:p>
    <w:p w14:paraId="61007A75" w14:textId="4CF56644" w:rsidR="007D4F25" w:rsidRPr="007F1283" w:rsidRDefault="007D4F25" w:rsidP="007D4F25">
      <w:pPr>
        <w:jc w:val="both"/>
        <w:rPr>
          <w:color w:val="000000" w:themeColor="text1"/>
        </w:rPr>
      </w:pPr>
      <w:r w:rsidRPr="007F1283">
        <w:rPr>
          <w:color w:val="000000" w:themeColor="text1"/>
        </w:rPr>
        <w:t xml:space="preserve">One of the main reasons for this is that marriage is a central and recurring </w:t>
      </w:r>
      <w:r w:rsidRPr="007F1283">
        <w:rPr>
          <w:i/>
          <w:color w:val="000000" w:themeColor="text1"/>
        </w:rPr>
        <w:t>theological</w:t>
      </w:r>
      <w:r w:rsidRPr="007F1283">
        <w:rPr>
          <w:color w:val="000000" w:themeColor="text1"/>
        </w:rPr>
        <w:t xml:space="preserve"> image in scripture that describes something fundamental about God’s relationship with the world and about the inner logic of creation and redemption. </w:t>
      </w:r>
    </w:p>
    <w:p w14:paraId="6A66D4B6" w14:textId="77777777" w:rsidR="007D4F25" w:rsidRPr="007F1283" w:rsidRDefault="007D4F25" w:rsidP="007D4F25">
      <w:pPr>
        <w:jc w:val="both"/>
        <w:rPr>
          <w:color w:val="000000" w:themeColor="text1"/>
        </w:rPr>
      </w:pPr>
    </w:p>
    <w:p w14:paraId="05FB2DC7" w14:textId="6C38A196" w:rsidR="007D4F25" w:rsidRPr="007F1283" w:rsidRDefault="007D4F25" w:rsidP="007D4F25">
      <w:pPr>
        <w:jc w:val="both"/>
        <w:rPr>
          <w:color w:val="000000" w:themeColor="text1"/>
        </w:rPr>
      </w:pPr>
      <w:r w:rsidRPr="007F1283">
        <w:rPr>
          <w:color w:val="000000" w:themeColor="text1"/>
        </w:rPr>
        <w:lastRenderedPageBreak/>
        <w:t>Important passages include Genesis 1-2 (when God creates humankind in the divine image), Isaiah 62:4b-5 (which describes God’s ‘marriage’ to the people of Israel), Ephesians 5:22-33 (which describes Christ’s relationship with the Church as a marriage), and Revelation 19:7-10 (which envisions the marriage feast of the Lamb at the new creation of heaven and earth). In this paradigm, the love that binds people together in marriage is an image of the love that has existed for eternity in the heart of God. Marital love is</w:t>
      </w:r>
      <w:r w:rsidRPr="007F1283">
        <w:rPr>
          <w:i/>
          <w:color w:val="000000" w:themeColor="text1"/>
        </w:rPr>
        <w:t xml:space="preserve"> like </w:t>
      </w:r>
      <w:r w:rsidRPr="007F1283">
        <w:rPr>
          <w:color w:val="000000" w:themeColor="text1"/>
        </w:rPr>
        <w:t xml:space="preserve">God’s covenantal relationship with the world. </w:t>
      </w:r>
    </w:p>
    <w:p w14:paraId="1017CEBD" w14:textId="77777777" w:rsidR="007D4F25" w:rsidRPr="007F1283" w:rsidRDefault="007D4F25" w:rsidP="007D4F25">
      <w:pPr>
        <w:jc w:val="both"/>
        <w:rPr>
          <w:color w:val="000000" w:themeColor="text1"/>
        </w:rPr>
      </w:pPr>
    </w:p>
    <w:p w14:paraId="7C62D8E9" w14:textId="77777777" w:rsidR="007D4F25" w:rsidRPr="007F1283" w:rsidRDefault="007D4F25" w:rsidP="007D4F25">
      <w:pPr>
        <w:jc w:val="both"/>
        <w:rPr>
          <w:color w:val="000000" w:themeColor="text1"/>
        </w:rPr>
      </w:pPr>
      <w:r w:rsidRPr="007F1283">
        <w:rPr>
          <w:color w:val="000000" w:themeColor="text1"/>
        </w:rPr>
        <w:t xml:space="preserve">The question is whether the male/female sexual/gender complementarity of marriage is central or incidental to the inner logic of the metaphor. A traditionalist approach argues it is central and cannot be done away with. Such an assertion places a lot of weight on Genesis 1:27: </w:t>
      </w:r>
      <w:r w:rsidRPr="007F1283">
        <w:rPr>
          <w:i/>
          <w:color w:val="000000" w:themeColor="text1"/>
        </w:rPr>
        <w:t>So God created humans in his image, in the image of God he created them; male and female he created them.</w:t>
      </w:r>
      <w:r w:rsidRPr="007F1283">
        <w:rPr>
          <w:color w:val="000000" w:themeColor="text1"/>
        </w:rPr>
        <w:t xml:space="preserve"> </w:t>
      </w:r>
    </w:p>
    <w:p w14:paraId="772861F2" w14:textId="77777777" w:rsidR="007D4F25" w:rsidRPr="007F1283" w:rsidRDefault="007D4F25" w:rsidP="007D4F25">
      <w:pPr>
        <w:jc w:val="both"/>
        <w:rPr>
          <w:color w:val="000000" w:themeColor="text1"/>
        </w:rPr>
      </w:pPr>
    </w:p>
    <w:p w14:paraId="63427221" w14:textId="415259CB" w:rsidR="007D4F25" w:rsidRPr="007F1283" w:rsidRDefault="007D4F25" w:rsidP="007D4F25">
      <w:pPr>
        <w:jc w:val="both"/>
        <w:rPr>
          <w:color w:val="000000" w:themeColor="text1"/>
        </w:rPr>
      </w:pPr>
      <w:r w:rsidRPr="007F1283">
        <w:rPr>
          <w:color w:val="000000" w:themeColor="text1"/>
        </w:rPr>
        <w:t>In Genesis 1, the creation of the world is described in a series of complementary binaries that are ‘meant’ to work together. This poetic construction comes to a climax in the creation of humankind as ‘male and female’. On these grounds, it is often argued that the gender complementarity of humankind is reflective of God’s good ordering of the cosmos – an order, which comes to final consummation in the marriage of Christ and the Church at the centre of the new heaven and earth.</w:t>
      </w:r>
    </w:p>
    <w:p w14:paraId="07214784" w14:textId="77777777" w:rsidR="007D4F25" w:rsidRPr="007F1283" w:rsidRDefault="007D4F25" w:rsidP="007D4F25">
      <w:pPr>
        <w:jc w:val="both"/>
        <w:rPr>
          <w:color w:val="000000" w:themeColor="text1"/>
        </w:rPr>
      </w:pPr>
    </w:p>
    <w:p w14:paraId="22C1392B" w14:textId="77777777" w:rsidR="007D4F25" w:rsidRPr="007F1283" w:rsidRDefault="007D4F25" w:rsidP="007D4F25">
      <w:pPr>
        <w:jc w:val="both"/>
        <w:rPr>
          <w:color w:val="000000" w:themeColor="text1"/>
        </w:rPr>
      </w:pPr>
      <w:r w:rsidRPr="007F1283">
        <w:rPr>
          <w:color w:val="000000" w:themeColor="text1"/>
        </w:rPr>
        <w:t>However, the argument for the centrality of gender complementarity is problematic for two reasons. First, the binary poetic device at the heart of Genesis, while theologically profound, is a vast oversimplification of the nature of reality. When it comes to the cosmos, for instance, we are quick to recognise that these binaries are poetic devices articulating one kind of theological truth and should not be used as a scientific description of empirical reality.</w:t>
      </w:r>
      <w:r w:rsidRPr="007F1283">
        <w:rPr>
          <w:color w:val="000000" w:themeColor="text1"/>
          <w:vertAlign w:val="superscript"/>
        </w:rPr>
        <w:footnoteReference w:id="42"/>
      </w:r>
      <w:r w:rsidRPr="007F1283">
        <w:rPr>
          <w:color w:val="000000" w:themeColor="text1"/>
        </w:rPr>
        <w:t xml:space="preserve"> Yet, for some reason, the Church has been far more reticent to recognise that sexuality and gender might also be far more complex than the Bible describes in Genesis 1.</w:t>
      </w:r>
    </w:p>
    <w:p w14:paraId="69BAF285" w14:textId="77777777" w:rsidR="007D4F25" w:rsidRPr="007F1283" w:rsidRDefault="007D4F25" w:rsidP="007D4F25">
      <w:pPr>
        <w:jc w:val="both"/>
        <w:rPr>
          <w:color w:val="000000" w:themeColor="text1"/>
        </w:rPr>
      </w:pPr>
    </w:p>
    <w:p w14:paraId="43F6D898" w14:textId="324B7008" w:rsidR="007D4F25" w:rsidRPr="007F1283" w:rsidRDefault="007D4F25" w:rsidP="007D4F25">
      <w:pPr>
        <w:jc w:val="both"/>
        <w:rPr>
          <w:color w:val="000000" w:themeColor="text1"/>
        </w:rPr>
      </w:pPr>
      <w:r w:rsidRPr="007F1283">
        <w:rPr>
          <w:color w:val="000000" w:themeColor="text1"/>
        </w:rPr>
        <w:t xml:space="preserve">The second reason is that it projects human norms of gender and sexuality onto God. The human covenant of marriage is an image of God’s love supremely revealed in Christ – not the other way around! If we begin with the love of God revealed in Christ, there is nothing inherently </w:t>
      </w:r>
      <w:r w:rsidRPr="007F1283">
        <w:rPr>
          <w:i/>
          <w:color w:val="000000" w:themeColor="text1"/>
        </w:rPr>
        <w:t xml:space="preserve">gendered </w:t>
      </w:r>
      <w:r w:rsidRPr="007F1283">
        <w:rPr>
          <w:color w:val="000000" w:themeColor="text1"/>
        </w:rPr>
        <w:t xml:space="preserve">about the marriage metaphor. Mark </w:t>
      </w:r>
      <w:proofErr w:type="spellStart"/>
      <w:r w:rsidRPr="007F1283">
        <w:rPr>
          <w:color w:val="000000" w:themeColor="text1"/>
        </w:rPr>
        <w:t>Achtemeier</w:t>
      </w:r>
      <w:proofErr w:type="spellEnd"/>
      <w:r w:rsidRPr="007F1283">
        <w:rPr>
          <w:color w:val="000000" w:themeColor="text1"/>
        </w:rPr>
        <w:t xml:space="preserve"> points out that the primary function of the marriage metaphor is a description of the complete and utter self-giving of Jesus Christ.</w:t>
      </w:r>
      <w:r w:rsidRPr="007F1283">
        <w:rPr>
          <w:color w:val="000000" w:themeColor="text1"/>
          <w:vertAlign w:val="superscript"/>
        </w:rPr>
        <w:footnoteReference w:id="43"/>
      </w:r>
      <w:r w:rsidRPr="007F1283">
        <w:rPr>
          <w:color w:val="000000" w:themeColor="text1"/>
        </w:rPr>
        <w:t xml:space="preserve"> In the incarnate Christ, God has become one with humankind, bound to our life and to our death, taking on all that is ours and giving to us all that is God’s. The marriage metaphor describes this miraculous exchange, this unconditional bond of love, and this bodily self-giving epitomised in the eucharistic words: </w:t>
      </w:r>
      <w:r w:rsidRPr="007F1283">
        <w:rPr>
          <w:i/>
          <w:color w:val="000000" w:themeColor="text1"/>
        </w:rPr>
        <w:t>This is my body, given for you.</w:t>
      </w:r>
      <w:r w:rsidRPr="007F1283">
        <w:rPr>
          <w:color w:val="000000" w:themeColor="text1"/>
          <w:vertAlign w:val="superscript"/>
        </w:rPr>
        <w:footnoteReference w:id="44"/>
      </w:r>
    </w:p>
    <w:p w14:paraId="6FE017DB" w14:textId="77777777" w:rsidR="007D4F25" w:rsidRPr="007F1283" w:rsidRDefault="007D4F25" w:rsidP="007D4F25">
      <w:pPr>
        <w:jc w:val="both"/>
        <w:rPr>
          <w:color w:val="000000" w:themeColor="text1"/>
        </w:rPr>
      </w:pPr>
    </w:p>
    <w:p w14:paraId="03002832" w14:textId="329E4A77" w:rsidR="007D4F25" w:rsidRPr="007F1283" w:rsidRDefault="007D4F25" w:rsidP="007D4F25">
      <w:pPr>
        <w:jc w:val="both"/>
        <w:rPr>
          <w:color w:val="000000" w:themeColor="text1"/>
        </w:rPr>
      </w:pPr>
      <w:r w:rsidRPr="007F1283">
        <w:rPr>
          <w:color w:val="000000" w:themeColor="text1"/>
        </w:rPr>
        <w:t xml:space="preserve">It is significant that the </w:t>
      </w:r>
      <w:r w:rsidR="00FC4218" w:rsidRPr="007F1283">
        <w:rPr>
          <w:color w:val="000000" w:themeColor="text1"/>
        </w:rPr>
        <w:t>r</w:t>
      </w:r>
      <w:r w:rsidRPr="007F1283">
        <w:rPr>
          <w:color w:val="000000" w:themeColor="text1"/>
        </w:rPr>
        <w:t xml:space="preserve">oad to Emmaus story ends with the disciples recognising Jesus as he breaks bread with them. So too for the Church. At the Lord’s Table, we are awakened to the presence of the living Christ with us and with </w:t>
      </w:r>
      <w:r w:rsidRPr="007F1283">
        <w:rPr>
          <w:i/>
          <w:color w:val="000000" w:themeColor="text1"/>
        </w:rPr>
        <w:t xml:space="preserve">all </w:t>
      </w:r>
      <w:r w:rsidRPr="007F1283">
        <w:rPr>
          <w:color w:val="000000" w:themeColor="text1"/>
        </w:rPr>
        <w:t xml:space="preserve">who gather alongside us; we are invited to remember with joy and thanksgiving the self-giving love of Christ, even unto death; and we look forward in hope to the marriage feast of the Lamb and the new creation when there will be neither Jew nor Gentile, slave nor free, male nor female – for all will be one in Christ Jesus. </w:t>
      </w:r>
    </w:p>
    <w:p w14:paraId="3812AE8D" w14:textId="77777777" w:rsidR="007D4F25" w:rsidRPr="007F1283" w:rsidRDefault="007D4F25" w:rsidP="007D4F25">
      <w:pPr>
        <w:jc w:val="both"/>
        <w:rPr>
          <w:color w:val="000000" w:themeColor="text1"/>
        </w:rPr>
      </w:pPr>
    </w:p>
    <w:p w14:paraId="3FBF2D65" w14:textId="77777777" w:rsidR="007D4F25" w:rsidRPr="007F1283" w:rsidRDefault="007D4F25" w:rsidP="007D4F25">
      <w:pPr>
        <w:jc w:val="both"/>
        <w:rPr>
          <w:color w:val="000000" w:themeColor="text1"/>
        </w:rPr>
      </w:pPr>
      <w:r w:rsidRPr="007F1283">
        <w:rPr>
          <w:color w:val="000000" w:themeColor="text1"/>
        </w:rPr>
        <w:t xml:space="preserve">Finding the risen Christ in </w:t>
      </w:r>
      <w:r w:rsidRPr="007F1283">
        <w:rPr>
          <w:i/>
          <w:color w:val="000000" w:themeColor="text1"/>
        </w:rPr>
        <w:t>fellowship with one another around the table,</w:t>
      </w:r>
      <w:r w:rsidRPr="007F1283">
        <w:rPr>
          <w:color w:val="000000" w:themeColor="text1"/>
        </w:rPr>
        <w:t xml:space="preserve"> is a reminder for the Church that our way forward is together. May the Church find a way to witness even in our division to the unity we share in Christ Jesus.</w:t>
      </w:r>
    </w:p>
    <w:p w14:paraId="29CFEF60" w14:textId="77777777" w:rsidR="007D4F25" w:rsidRPr="007F1283" w:rsidRDefault="007D4F25" w:rsidP="007D4F25">
      <w:pPr>
        <w:jc w:val="both"/>
        <w:rPr>
          <w:b/>
          <w:bCs/>
          <w:color w:val="000000" w:themeColor="text1"/>
        </w:rPr>
      </w:pPr>
    </w:p>
    <w:sectPr w:rsidR="007D4F25" w:rsidRPr="007F1283" w:rsidSect="00976ADF">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08B0" w14:textId="77777777" w:rsidR="004F4DDA" w:rsidRDefault="004F4DDA" w:rsidP="007D4F25">
      <w:r>
        <w:separator/>
      </w:r>
    </w:p>
  </w:endnote>
  <w:endnote w:type="continuationSeparator" w:id="0">
    <w:p w14:paraId="4BFC22B9" w14:textId="77777777" w:rsidR="004F4DDA" w:rsidRDefault="004F4DDA" w:rsidP="007D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4EFF" w14:textId="77777777" w:rsidR="00994255" w:rsidRDefault="00994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E6C1" w14:textId="77777777" w:rsidR="00994255" w:rsidRDefault="00994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4A8E" w14:textId="77777777" w:rsidR="00994255" w:rsidRDefault="00994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1D42" w14:textId="77777777" w:rsidR="004F4DDA" w:rsidRDefault="004F4DDA" w:rsidP="007D4F25">
      <w:r>
        <w:separator/>
      </w:r>
    </w:p>
  </w:footnote>
  <w:footnote w:type="continuationSeparator" w:id="0">
    <w:p w14:paraId="6D90E591" w14:textId="77777777" w:rsidR="004F4DDA" w:rsidRDefault="004F4DDA" w:rsidP="007D4F25">
      <w:r>
        <w:continuationSeparator/>
      </w:r>
    </w:p>
  </w:footnote>
  <w:footnote w:id="1">
    <w:p w14:paraId="3BCE8D91" w14:textId="510594A5" w:rsidR="007D4F25" w:rsidRDefault="007D4F25" w:rsidP="007D4F25">
      <w:pPr>
        <w:pStyle w:val="FootnoteText"/>
      </w:pPr>
      <w:r>
        <w:rPr>
          <w:rStyle w:val="FootnoteReference"/>
        </w:rPr>
        <w:footnoteRef/>
      </w:r>
      <w:r>
        <w:t xml:space="preserve"> If one denies the Christian doctrine of creation, then this has a domino effect into other non-negotiable aspects of Christian belief mentioned only briefly in this paper. Such doctrines include the creation of humans in the image of God, the fall. It also includes  the call to be Jesus’ disciples, and to be sign posts of the future in the present.</w:t>
      </w:r>
    </w:p>
  </w:footnote>
  <w:footnote w:id="2">
    <w:p w14:paraId="7E19C170" w14:textId="77777777" w:rsidR="007D4F25" w:rsidRDefault="007D4F25" w:rsidP="007D4F25">
      <w:pPr>
        <w:pStyle w:val="FootnoteText"/>
      </w:pPr>
      <w:r>
        <w:rPr>
          <w:rStyle w:val="FootnoteReference"/>
        </w:rPr>
        <w:footnoteRef/>
      </w:r>
      <w:r>
        <w:t xml:space="preserve"> In Genesis 1, chaos refers to disorder and a lack of purpose. Because chaos is not personified in Genesis 1, it does not contain the notion of evil like the personified chaos represented by Tiamat in Enuma Elish.</w:t>
      </w:r>
      <w:r w:rsidRPr="003C586F">
        <w:t xml:space="preserve"> </w:t>
      </w:r>
      <w:r>
        <w:t xml:space="preserve">John H. Walton, </w:t>
      </w:r>
      <w:r w:rsidRPr="003C586F">
        <w:rPr>
          <w:i/>
          <w:iCs/>
        </w:rPr>
        <w:t>Genesis</w:t>
      </w:r>
      <w:r>
        <w:rPr>
          <w:i/>
          <w:iCs/>
        </w:rPr>
        <w:t>: The NIV Application Commentary</w:t>
      </w:r>
      <w:r>
        <w:t xml:space="preserve"> (Grand Rapids, MI: Zondervan, 2001), 73-74.</w:t>
      </w:r>
    </w:p>
  </w:footnote>
  <w:footnote w:id="3">
    <w:p w14:paraId="3D1EEB6F" w14:textId="2333503A" w:rsidR="007D4F25" w:rsidRDefault="007D4F25" w:rsidP="007D4F25">
      <w:pPr>
        <w:pStyle w:val="FootnoteText"/>
      </w:pPr>
      <w:r>
        <w:rPr>
          <w:rStyle w:val="FootnoteReference"/>
        </w:rPr>
        <w:footnoteRef/>
      </w:r>
      <w:r>
        <w:t xml:space="preserve"> </w:t>
      </w:r>
      <w:r w:rsidRPr="00E93D20">
        <w:t>That the author/s did not discuss the time between light and darkness (twilight) is an indication for the conservative exegete that Genesis 1 does not value that phenomenon when thinking about God</w:t>
      </w:r>
      <w:r>
        <w:t>’</w:t>
      </w:r>
      <w:r w:rsidRPr="00E93D20">
        <w:t>s ordering of creation. Rather, Genesis 1 is interested in the binary order of God</w:t>
      </w:r>
      <w:r>
        <w:t>’</w:t>
      </w:r>
      <w:r w:rsidRPr="00E93D20">
        <w:t>s creation.</w:t>
      </w:r>
    </w:p>
  </w:footnote>
  <w:footnote w:id="4">
    <w:p w14:paraId="663AE401" w14:textId="77777777" w:rsidR="007D4F25" w:rsidRDefault="007D4F25" w:rsidP="007D4F25">
      <w:pPr>
        <w:pStyle w:val="FootnoteText"/>
      </w:pPr>
      <w:r>
        <w:rPr>
          <w:rStyle w:val="FootnoteReference"/>
        </w:rPr>
        <w:footnoteRef/>
      </w:r>
      <w:r>
        <w:t xml:space="preserve"> Walton, </w:t>
      </w:r>
      <w:r w:rsidRPr="00D25CAD">
        <w:rPr>
          <w:i/>
          <w:iCs/>
        </w:rPr>
        <w:t>Genesis</w:t>
      </w:r>
      <w:r>
        <w:t xml:space="preserve">, 178-79. </w:t>
      </w:r>
    </w:p>
  </w:footnote>
  <w:footnote w:id="5">
    <w:p w14:paraId="7C49DCAA" w14:textId="77777777" w:rsidR="007D4F25" w:rsidRDefault="007D4F25" w:rsidP="007D4F25">
      <w:pPr>
        <w:pStyle w:val="FootnoteText"/>
      </w:pPr>
      <w:r>
        <w:rPr>
          <w:rStyle w:val="FootnoteReference"/>
        </w:rPr>
        <w:footnoteRef/>
      </w:r>
      <w:r>
        <w:t xml:space="preserve"> In Enuma Elish, the god Marduk defeats personified chaos - Tiamat – in a decisive battle and then creates the world out of her corpse. Walton, </w:t>
      </w:r>
      <w:r w:rsidRPr="002741E4">
        <w:rPr>
          <w:i/>
          <w:iCs/>
        </w:rPr>
        <w:t>Genesis</w:t>
      </w:r>
      <w:r>
        <w:t>, 27, 29.</w:t>
      </w:r>
    </w:p>
  </w:footnote>
  <w:footnote w:id="6">
    <w:p w14:paraId="38A371F3" w14:textId="6E90B7EC" w:rsidR="007D4F25" w:rsidRDefault="007D4F25" w:rsidP="007D4F25">
      <w:pPr>
        <w:pStyle w:val="FootnoteText"/>
      </w:pPr>
      <w:r>
        <w:rPr>
          <w:rStyle w:val="FootnoteReference"/>
        </w:rPr>
        <w:footnoteRef/>
      </w:r>
      <w:r>
        <w:t xml:space="preserve"> The culture at Jesus’ time was highly patriarchal and in Jewish society it was men who were able to divorce their wives under the law, not the other way around. See Ulrich Luz, </w:t>
      </w:r>
      <w:r w:rsidRPr="00F72FCF">
        <w:rPr>
          <w:i/>
          <w:iCs/>
        </w:rPr>
        <w:t>Matthew 1-7</w:t>
      </w:r>
      <w:r>
        <w:t xml:space="preserve">: Hermeneia (Minneapolis, Fortress, 2001), 251. In such a patriarchal society divorce was especially not good for woman. Luz, </w:t>
      </w:r>
      <w:r w:rsidRPr="00F72FCF">
        <w:rPr>
          <w:i/>
          <w:iCs/>
        </w:rPr>
        <w:t>Matthew 1-7</w:t>
      </w:r>
      <w:r>
        <w:t xml:space="preserve">, 252. Keener suggests that the phrase ‘Have you never read’ suggests that Jesus’ opponents have searched scripture to justify their desired outcomes rather than read scripture in the light of God’s revealed creative purpose. Keener suggests that Jesus is accusing his opponents of proof texting. See Craig S. Keener, </w:t>
      </w:r>
      <w:r w:rsidRPr="00F72FCF">
        <w:rPr>
          <w:i/>
          <w:iCs/>
        </w:rPr>
        <w:t>A Commentary on the Gospel of Matthew</w:t>
      </w:r>
      <w:r>
        <w:t xml:space="preserve"> (Grand Rapids, MI: Eerdmans, 1999), 465. The first century debate about divorce between the school of Shammai and Hillel is the background for this passage. The debate was around the interpretation of Deuteronomy 24:1-3. The school of Shammai interpreted it as meaning that a man could divorce his wife for unfaithfulness while the school of Hillel interpreted it as meaning a man could divorce his wife for any reason whatsoever (even burning the bread). Jesus’ opponents in Matthew 19 appear to be part of the school of Hillel and Jesus’ interpretation lines up reasonably well with the school of Shammai. See Keener, </w:t>
      </w:r>
      <w:r w:rsidRPr="000007D1">
        <w:rPr>
          <w:i/>
          <w:iCs/>
        </w:rPr>
        <w:t>A Commentary on the Gospel of Matthew</w:t>
      </w:r>
      <w:r>
        <w:t>, 463, 465-66.</w:t>
      </w:r>
    </w:p>
  </w:footnote>
  <w:footnote w:id="7">
    <w:p w14:paraId="71574B6B" w14:textId="5E2467F7" w:rsidR="007D4F25" w:rsidRDefault="007D4F25" w:rsidP="007D4F25">
      <w:pPr>
        <w:pStyle w:val="FootnoteText"/>
      </w:pPr>
      <w:r>
        <w:rPr>
          <w:rStyle w:val="FootnoteReference"/>
        </w:rPr>
        <w:footnoteRef/>
      </w:r>
      <w:r>
        <w:t xml:space="preserve"> Davies and Allison put Jesus’ argument as ‘the created order is a guide for the moral order.’ They also suggest that Jesus interprets Deuteronomy 24:1 through Malachi 2:16 and thereby subordinates Deuteronomy 24:1 to the creation account. See W. D. Davies and Dale C. Allison</w:t>
      </w:r>
      <w:r w:rsidRPr="003E020A">
        <w:rPr>
          <w:i/>
          <w:iCs/>
        </w:rPr>
        <w:t>, A Critical Exegetical Commentary on the Gospel According to Matthew</w:t>
      </w:r>
      <w:r>
        <w:rPr>
          <w:i/>
          <w:iCs/>
        </w:rPr>
        <w:t xml:space="preserve"> </w:t>
      </w:r>
      <w:r>
        <w:t xml:space="preserve">(Edinburgh, T&amp;T Clark, 1997), 3, 10, 12-15. Similarly see Ulrich Luz, </w:t>
      </w:r>
      <w:r w:rsidRPr="003E020A">
        <w:rPr>
          <w:i/>
          <w:iCs/>
        </w:rPr>
        <w:t>Matthew 8-20</w:t>
      </w:r>
      <w:r>
        <w:t>: Hermeneia (Minneapolis: Fortress, 2001), 486-87, 490. Keener,</w:t>
      </w:r>
      <w:r w:rsidRPr="003E020A">
        <w:rPr>
          <w:i/>
          <w:iCs/>
        </w:rPr>
        <w:t xml:space="preserve"> Matthew</w:t>
      </w:r>
      <w:r>
        <w:t>, 463.</w:t>
      </w:r>
    </w:p>
  </w:footnote>
  <w:footnote w:id="8">
    <w:p w14:paraId="3CF54766" w14:textId="77777777" w:rsidR="007D4F25" w:rsidRDefault="007D4F25" w:rsidP="007D4F25">
      <w:pPr>
        <w:pStyle w:val="FootnoteText"/>
      </w:pPr>
      <w:r>
        <w:rPr>
          <w:rStyle w:val="FootnoteReference"/>
        </w:rPr>
        <w:footnoteRef/>
      </w:r>
      <w:r>
        <w:t xml:space="preserve"> Luz, </w:t>
      </w:r>
      <w:r w:rsidRPr="003E020A">
        <w:rPr>
          <w:i/>
          <w:iCs/>
        </w:rPr>
        <w:t>Matthew 8-20</w:t>
      </w:r>
      <w:r>
        <w:t xml:space="preserve">, 492. Luz, </w:t>
      </w:r>
      <w:r w:rsidRPr="003E020A">
        <w:rPr>
          <w:i/>
          <w:iCs/>
        </w:rPr>
        <w:t>Matthew 1-7</w:t>
      </w:r>
      <w:r>
        <w:t xml:space="preserve">, 253-55. Keener, </w:t>
      </w:r>
      <w:r w:rsidRPr="00290D63">
        <w:rPr>
          <w:i/>
          <w:iCs/>
        </w:rPr>
        <w:t>Matthew</w:t>
      </w:r>
      <w:r>
        <w:t xml:space="preserve">, 467-69. To get a sense of the broad scope of the use of </w:t>
      </w:r>
      <w:r w:rsidRPr="006113E1">
        <w:rPr>
          <w:i/>
          <w:iCs/>
        </w:rPr>
        <w:t>porneia</w:t>
      </w:r>
      <w:r>
        <w:t xml:space="preserve"> in the first century consider its use in the following sample of texts. </w:t>
      </w:r>
      <w:r w:rsidRPr="006113E1">
        <w:rPr>
          <w:i/>
          <w:iCs/>
        </w:rPr>
        <w:t>Porneia</w:t>
      </w:r>
      <w:r>
        <w:t xml:space="preserve"> can mean sex with a married woman (Testament of Joseph 3:8); adultery (Sirach 23:23); incest (Testament of Reuben 1:6) and homosexual sex (Sibylline Oracles 3: 764; 4:33-36). As such, when a text does not limit the scope of possible sexual acts when it uses </w:t>
      </w:r>
      <w:r w:rsidRPr="004B625C">
        <w:rPr>
          <w:i/>
          <w:iCs/>
        </w:rPr>
        <w:t>porneia</w:t>
      </w:r>
      <w:r>
        <w:t>, it is best to take it generally as a reference to any sexual act outside of a heterosexual marriage (see Martyrdom and Ascension of Isaiah 2:5 and Mark 7:21 as examples).</w:t>
      </w:r>
    </w:p>
  </w:footnote>
  <w:footnote w:id="9">
    <w:p w14:paraId="28C0F3E4" w14:textId="6F2AC9F0" w:rsidR="007D4F25" w:rsidRPr="00FF6F1E" w:rsidRDefault="007D4F25" w:rsidP="007D4F25">
      <w:pPr>
        <w:pStyle w:val="FootnoteText"/>
      </w:pPr>
      <w:r>
        <w:rPr>
          <w:rStyle w:val="FootnoteReference"/>
        </w:rPr>
        <w:footnoteRef/>
      </w:r>
      <w:r>
        <w:t xml:space="preserve"> Paul speaks of the creation twice (Rom 1:20, 25), God as creator once (Rom 1:25) and refers to creation without using the word </w:t>
      </w:r>
      <w:r w:rsidRPr="00BA0883">
        <w:rPr>
          <w:i/>
          <w:iCs/>
        </w:rPr>
        <w:t>ktisis</w:t>
      </w:r>
      <w:r>
        <w:rPr>
          <w:i/>
          <w:iCs/>
        </w:rPr>
        <w:t xml:space="preserve"> </w:t>
      </w:r>
      <w:r>
        <w:t xml:space="preserve">twice (Rom 1:19, 20). Paul also has the Genesis story of creation and fall (Gen 1-3) in the back of his mind throughout the pericope. This can be seen coming to the surface in places like Romans 1:22 where the people ‘claim to be wise…’ Similarly see N. T. Wright, ‘Romans,’ pages 393-770 in </w:t>
      </w:r>
      <w:r w:rsidRPr="004F2A7E">
        <w:rPr>
          <w:i/>
          <w:iCs/>
        </w:rPr>
        <w:t>The New Interpreter</w:t>
      </w:r>
      <w:r>
        <w:rPr>
          <w:i/>
          <w:iCs/>
        </w:rPr>
        <w:t>’</w:t>
      </w:r>
      <w:r w:rsidRPr="004F2A7E">
        <w:rPr>
          <w:i/>
          <w:iCs/>
        </w:rPr>
        <w:t>s Bible: A Commentary in Twelve Volumes</w:t>
      </w:r>
      <w:r>
        <w:t xml:space="preserve">, Vol. X (Nashville, TN: Abingdon Press, 2002), 432-33. James D. G. Dunn, </w:t>
      </w:r>
      <w:r w:rsidRPr="00385C09">
        <w:rPr>
          <w:i/>
          <w:iCs/>
        </w:rPr>
        <w:t>Romans 1-8</w:t>
      </w:r>
      <w:r>
        <w:t>, vol. 38A (Dallas, TX: Word, Incorporated, 1988), 60.</w:t>
      </w:r>
    </w:p>
  </w:footnote>
  <w:footnote w:id="10">
    <w:p w14:paraId="0D593185" w14:textId="77777777" w:rsidR="007D4F25" w:rsidRDefault="007D4F25" w:rsidP="007D4F25">
      <w:pPr>
        <w:pStyle w:val="FootnoteText"/>
      </w:pPr>
      <w:r>
        <w:rPr>
          <w:rStyle w:val="FootnoteReference"/>
        </w:rPr>
        <w:footnoteRef/>
      </w:r>
      <w:r>
        <w:t xml:space="preserve"> Bird suggests that Romans 1:18-25 is allusive of Adam and Eve as he tells how pagans rehearse the primeval pairs descent into sin. Michael F. Bird, </w:t>
      </w:r>
      <w:r w:rsidRPr="000F68C8">
        <w:rPr>
          <w:i/>
          <w:iCs/>
        </w:rPr>
        <w:t>Romans</w:t>
      </w:r>
      <w:r>
        <w:t>, ed. Scott McKnight (Grand Rapids, MI: Zondervan, 2016), 53.</w:t>
      </w:r>
    </w:p>
  </w:footnote>
  <w:footnote w:id="11">
    <w:p w14:paraId="31CD7DEE" w14:textId="17BF997E" w:rsidR="007D4F25" w:rsidRDefault="007D4F25" w:rsidP="007D4F25">
      <w:pPr>
        <w:pStyle w:val="FootnoteText"/>
      </w:pPr>
      <w:r>
        <w:rPr>
          <w:rStyle w:val="FootnoteReference"/>
        </w:rPr>
        <w:footnoteRef/>
      </w:r>
      <w:r>
        <w:t xml:space="preserve"> Wright, ‘Romans,’ 432.</w:t>
      </w:r>
      <w:r w:rsidRPr="00A96787">
        <w:t xml:space="preserve"> </w:t>
      </w:r>
      <w:r>
        <w:t xml:space="preserve">Bird, </w:t>
      </w:r>
      <w:r w:rsidRPr="00A96787">
        <w:rPr>
          <w:i/>
          <w:iCs/>
        </w:rPr>
        <w:t>Romans</w:t>
      </w:r>
      <w:r>
        <w:t>, 56.</w:t>
      </w:r>
      <w:r w:rsidRPr="00385C09">
        <w:t xml:space="preserve"> </w:t>
      </w:r>
      <w:r>
        <w:t xml:space="preserve">Dunn, </w:t>
      </w:r>
      <w:r w:rsidRPr="00BA052F">
        <w:rPr>
          <w:i/>
          <w:iCs/>
        </w:rPr>
        <w:t>Romans 1-8</w:t>
      </w:r>
      <w:r>
        <w:t>, 57-59.</w:t>
      </w:r>
    </w:p>
  </w:footnote>
  <w:footnote w:id="12">
    <w:p w14:paraId="3364D94C" w14:textId="77777777" w:rsidR="007D4F25" w:rsidRDefault="007D4F25" w:rsidP="007D4F25">
      <w:pPr>
        <w:pStyle w:val="FootnoteText"/>
      </w:pPr>
      <w:r>
        <w:rPr>
          <w:rStyle w:val="FootnoteReference"/>
        </w:rPr>
        <w:footnoteRef/>
      </w:r>
      <w:r>
        <w:t xml:space="preserve"> Steven E. </w:t>
      </w:r>
      <w:r w:rsidRPr="00033F06">
        <w:t>Runge,</w:t>
      </w:r>
      <w:r>
        <w:t xml:space="preserve"> </w:t>
      </w:r>
      <w:r w:rsidRPr="001B7BB1">
        <w:rPr>
          <w:i/>
          <w:iCs/>
        </w:rPr>
        <w:t>Romans</w:t>
      </w:r>
      <w:r>
        <w:rPr>
          <w:i/>
          <w:iCs/>
        </w:rPr>
        <w:t>: A Visual and Textual Guide</w:t>
      </w:r>
      <w:r w:rsidRPr="001B7BB1">
        <w:rPr>
          <w:i/>
          <w:iCs/>
        </w:rPr>
        <w:t xml:space="preserve"> </w:t>
      </w:r>
      <w:r w:rsidRPr="001B7BB1">
        <w:t>(Bellingham, WA: Lexham</w:t>
      </w:r>
      <w:r w:rsidRPr="00033F06">
        <w:t xml:space="preserve"> Press</w:t>
      </w:r>
      <w:r>
        <w:t>, 2014), 30</w:t>
      </w:r>
      <w:r w:rsidRPr="00033F06">
        <w:t>.</w:t>
      </w:r>
      <w:r w:rsidRPr="004666C1">
        <w:t xml:space="preserve"> </w:t>
      </w:r>
      <w:r>
        <w:t xml:space="preserve">Similarly see Bird, </w:t>
      </w:r>
      <w:r w:rsidRPr="004666C1">
        <w:rPr>
          <w:i/>
          <w:iCs/>
        </w:rPr>
        <w:t>Romans</w:t>
      </w:r>
      <w:r>
        <w:t>, 60.</w:t>
      </w:r>
    </w:p>
  </w:footnote>
  <w:footnote w:id="13">
    <w:p w14:paraId="3EF0F72D" w14:textId="44CF6AB4" w:rsidR="007D4F25" w:rsidRDefault="007D4F25" w:rsidP="007D4F25">
      <w:pPr>
        <w:pStyle w:val="FootnoteText"/>
      </w:pPr>
      <w:r>
        <w:rPr>
          <w:rStyle w:val="FootnoteReference"/>
        </w:rPr>
        <w:footnoteRef/>
      </w:r>
      <w:r>
        <w:t xml:space="preserve"> ‘Philo and Josephus both refer to homosexual relations as ‘contrary to nature’ (</w:t>
      </w:r>
      <w:r w:rsidRPr="00033F06">
        <w:rPr>
          <w:i/>
          <w:iCs/>
        </w:rPr>
        <w:t>para physin</w:t>
      </w:r>
      <w:r>
        <w:t xml:space="preserve">) in several places (Josephus, </w:t>
      </w:r>
      <w:r w:rsidRPr="00033F06">
        <w:rPr>
          <w:i/>
          <w:iCs/>
        </w:rPr>
        <w:t>Apion</w:t>
      </w:r>
      <w:r>
        <w:t xml:space="preserve"> 2.273; Philo, </w:t>
      </w:r>
      <w:r w:rsidRPr="00033F06">
        <w:rPr>
          <w:i/>
          <w:iCs/>
        </w:rPr>
        <w:t>Spec. Laws</w:t>
      </w:r>
      <w:r>
        <w:t xml:space="preserve"> 3.38; </w:t>
      </w:r>
      <w:r w:rsidRPr="00033F06">
        <w:rPr>
          <w:i/>
          <w:iCs/>
        </w:rPr>
        <w:t>Abraham</w:t>
      </w:r>
      <w:r>
        <w:t xml:space="preserve"> 133–36). Josephus (</w:t>
      </w:r>
      <w:r w:rsidRPr="00033F06">
        <w:rPr>
          <w:i/>
          <w:iCs/>
        </w:rPr>
        <w:t>Against Apion</w:t>
      </w:r>
      <w:r>
        <w:t xml:space="preserve"> 2.199) even states that the marriage of a man and a woman is ‘according to nature’ (</w:t>
      </w:r>
      <w:r w:rsidRPr="00033F06">
        <w:rPr>
          <w:i/>
          <w:iCs/>
        </w:rPr>
        <w:t>kata physin</w:t>
      </w:r>
      <w:r>
        <w:t>) whereas a ‘mixing’ (</w:t>
      </w:r>
      <w:r w:rsidRPr="00033F06">
        <w:rPr>
          <w:i/>
          <w:iCs/>
        </w:rPr>
        <w:t>mixis</w:t>
      </w:r>
      <w:r>
        <w:t xml:space="preserve">) of male and male is abhorred by the law and deserving of death. The author of </w:t>
      </w:r>
      <w:r w:rsidRPr="00033F06">
        <w:rPr>
          <w:i/>
          <w:iCs/>
        </w:rPr>
        <w:t>T. Naph</w:t>
      </w:r>
      <w:r>
        <w:t xml:space="preserve"> 3.3–4 considers homosexuality a departure ‘from the order of nature.’ Ovid (</w:t>
      </w:r>
      <w:r w:rsidRPr="00033F06">
        <w:rPr>
          <w:i/>
          <w:iCs/>
        </w:rPr>
        <w:t>Metam</w:t>
      </w:r>
      <w:r>
        <w:t>. 9.758) refers to a girl who loved another girl, yet she knew that ‘nature does not will it.’ Plato (</w:t>
      </w:r>
      <w:r w:rsidRPr="00DE078E">
        <w:rPr>
          <w:i/>
          <w:iCs/>
        </w:rPr>
        <w:t>Laws</w:t>
      </w:r>
      <w:r>
        <w:t xml:space="preserve"> 1.2 [636 BC]) regarded sexual relations between same-sex couples as ‘contrary to nature.’ See Bird, </w:t>
      </w:r>
      <w:r w:rsidRPr="00DE078E">
        <w:rPr>
          <w:i/>
          <w:iCs/>
        </w:rPr>
        <w:t>Romans</w:t>
      </w:r>
      <w:r>
        <w:t>, 60, footnote 21.</w:t>
      </w:r>
    </w:p>
  </w:footnote>
  <w:footnote w:id="14">
    <w:p w14:paraId="3D474686" w14:textId="015A71A5" w:rsidR="007D4F25" w:rsidRDefault="007D4F25" w:rsidP="007D4F25">
      <w:pPr>
        <w:pStyle w:val="FootnoteText"/>
      </w:pPr>
      <w:r>
        <w:rPr>
          <w:rStyle w:val="FootnoteReference"/>
        </w:rPr>
        <w:footnoteRef/>
      </w:r>
      <w:r>
        <w:t xml:space="preserve"> Similarly see Bird, </w:t>
      </w:r>
      <w:r w:rsidRPr="00F6708B">
        <w:rPr>
          <w:i/>
          <w:iCs/>
        </w:rPr>
        <w:t>Romans</w:t>
      </w:r>
      <w:r>
        <w:t xml:space="preserve">, 53. Runge notes ‘They have rejected the created order of things that God set in place from the beginning.’ See Runge, </w:t>
      </w:r>
      <w:r w:rsidRPr="001B7BB1">
        <w:rPr>
          <w:i/>
          <w:iCs/>
        </w:rPr>
        <w:t>Romans</w:t>
      </w:r>
      <w:r>
        <w:t>, 24-25. Paul’s view is shared by the author of Wisdom of Solomon who also suggests that idolatry – confusion regarding the creator and creation – leads to fornication (See Wisdom of Solomon 14:12).</w:t>
      </w:r>
      <w:r w:rsidRPr="002E3107">
        <w:t xml:space="preserve"> </w:t>
      </w:r>
      <w:r>
        <w:t xml:space="preserve">Similarly see Dunn, </w:t>
      </w:r>
      <w:r w:rsidRPr="002E3107">
        <w:rPr>
          <w:i/>
          <w:iCs/>
        </w:rPr>
        <w:t>Romans 1-8</w:t>
      </w:r>
      <w:r>
        <w:t>, 63.</w:t>
      </w:r>
    </w:p>
  </w:footnote>
  <w:footnote w:id="15">
    <w:p w14:paraId="72695FF6" w14:textId="77777777" w:rsidR="007D4F25" w:rsidRDefault="007D4F25" w:rsidP="007D4F25">
      <w:pPr>
        <w:pStyle w:val="FootnoteText"/>
      </w:pPr>
      <w:r>
        <w:rPr>
          <w:rStyle w:val="FootnoteReference"/>
        </w:rPr>
        <w:footnoteRef/>
      </w:r>
      <w:r>
        <w:t xml:space="preserve"> In her book Wilson demonstrates the growing influence of Epicureanism on 17</w:t>
      </w:r>
      <w:r w:rsidRPr="007577A5">
        <w:rPr>
          <w:vertAlign w:val="superscript"/>
        </w:rPr>
        <w:t>th</w:t>
      </w:r>
      <w:r>
        <w:t xml:space="preserve"> century philosophy. See Catherine Wilson, </w:t>
      </w:r>
      <w:r w:rsidRPr="005375B8">
        <w:rPr>
          <w:i/>
          <w:iCs/>
        </w:rPr>
        <w:t>Epicureanism at the Origins of Modernity</w:t>
      </w:r>
      <w:r>
        <w:t xml:space="preserve"> (Oxford: Oxford University Press, 2008).</w:t>
      </w:r>
    </w:p>
  </w:footnote>
  <w:footnote w:id="16">
    <w:p w14:paraId="4F93660A" w14:textId="7854FDC6" w:rsidR="007D4F25" w:rsidRDefault="007D4F25" w:rsidP="007D4F25">
      <w:pPr>
        <w:pStyle w:val="FootnoteText"/>
      </w:pPr>
      <w:r>
        <w:rPr>
          <w:rStyle w:val="FootnoteReference"/>
        </w:rPr>
        <w:footnoteRef/>
      </w:r>
      <w:r>
        <w:t xml:space="preserve"> N. T. Wright, </w:t>
      </w:r>
      <w:r w:rsidRPr="0038391C">
        <w:rPr>
          <w:i/>
          <w:iCs/>
        </w:rPr>
        <w:t>History and Eschatology: Jesus and the Promise of Natural Theology</w:t>
      </w:r>
      <w:r>
        <w:t xml:space="preserve"> (Waco, TX: Baylor University Press, 2019), 35. Wilson points to the triumph of Epicureanism in that ‘The central premises of the Epicurean system were its denial that any supernatural agents engage in the design, generation, maintenance, or moral regulation of the world; its assertion that self-moving, subvisible material particles acting blindly, without intention or purpose, bring about all growth, change, and decline; and its insistence that the point of ethical discipline and self-denial could only be the minimization of mental and physical suffering… The success of Epicureanism can be measured by the extent to which the universities abandoned, as they did to a remarkable extent, their role as centres for the study of incorporeal entities and eschatological and miraculous states of affairs. They became instead institutions devoted to the close and careful examination and remodelling of the material and social worlds and devoted as well to the cultivation of intellectual and sensory pleasures and the remediation of pain and deprivation.’ Wilson, </w:t>
      </w:r>
      <w:r w:rsidRPr="00C10482">
        <w:rPr>
          <w:i/>
          <w:iCs/>
        </w:rPr>
        <w:t>Epicureanism</w:t>
      </w:r>
      <w:r>
        <w:t>, 37-8.</w:t>
      </w:r>
    </w:p>
  </w:footnote>
  <w:footnote w:id="17">
    <w:p w14:paraId="64BE6945" w14:textId="38B96D86" w:rsidR="007D4F25" w:rsidRDefault="007D4F25" w:rsidP="007D4F25">
      <w:pPr>
        <w:pStyle w:val="FootnoteText"/>
      </w:pPr>
      <w:r>
        <w:rPr>
          <w:rStyle w:val="FootnoteReference"/>
        </w:rPr>
        <w:footnoteRef/>
      </w:r>
      <w:r>
        <w:t xml:space="preserve"> Taylor points to the evolutionary aspects of Lucretius’ thought in his comment ‘Lucretius in the ancient world offered an ‘evolutionary’ picture, of animals and humans arising by spontaneous generation out of the soil.’ See Charles Taylor, </w:t>
      </w:r>
      <w:r w:rsidRPr="00E94038">
        <w:rPr>
          <w:i/>
          <w:iCs/>
        </w:rPr>
        <w:t>A Secular Age</w:t>
      </w:r>
      <w:r>
        <w:t xml:space="preserve"> (Cambridge, MA: Harvard University Press, 2007), 328. Wright points out that Darwin’s idea of survival of the fittest gave a </w:t>
      </w:r>
      <w:r w:rsidRPr="008D522E">
        <w:rPr>
          <w:i/>
          <w:iCs/>
        </w:rPr>
        <w:t>telos</w:t>
      </w:r>
      <w:r>
        <w:t xml:space="preserve"> in the biological realm for the unguided, chaotic universe of the neo-Epicurean. See Wright, </w:t>
      </w:r>
      <w:r w:rsidRPr="00290D63">
        <w:rPr>
          <w:i/>
          <w:iCs/>
        </w:rPr>
        <w:t>History and Eschatology</w:t>
      </w:r>
      <w:r>
        <w:t xml:space="preserve">, 61. Greenblatt notes how Epicureanism had decisively impacted Darwin’s grandfather - Erasmus Darwin. He notes how Charles Darwin could leave Lucretius’ poem </w:t>
      </w:r>
      <w:r w:rsidRPr="00FE4B37">
        <w:rPr>
          <w:i/>
          <w:iCs/>
        </w:rPr>
        <w:t>On the Nature of Things</w:t>
      </w:r>
      <w:r>
        <w:t xml:space="preserve"> unread because he had already thoroughly absorbed the Epicurean view of the cosmos. See Stephen Greenblatt, </w:t>
      </w:r>
      <w:r w:rsidRPr="00FE4B37">
        <w:rPr>
          <w:i/>
          <w:iCs/>
        </w:rPr>
        <w:t>The Swerve: How the World Became Modern</w:t>
      </w:r>
      <w:r>
        <w:t xml:space="preserve"> (London: W. W. Norton &amp; Company, 2011), 262.</w:t>
      </w:r>
    </w:p>
  </w:footnote>
  <w:footnote w:id="18">
    <w:p w14:paraId="77D95B86" w14:textId="27D3429D" w:rsidR="007D4F25" w:rsidRDefault="007D4F25" w:rsidP="007D4F25">
      <w:pPr>
        <w:pStyle w:val="FootnoteText"/>
      </w:pPr>
      <w:r>
        <w:rPr>
          <w:rStyle w:val="FootnoteReference"/>
        </w:rPr>
        <w:footnoteRef/>
      </w:r>
      <w:r>
        <w:t xml:space="preserve"> Taylor highlights the impact that one of the central tenets of Epicureanism has had on the modern self that is of relevance to modern conversations on sexuality. Epicureans have long argued that the knowledge that all that exists is the result of atoms swerving randomly about frees people from the fear of death and retribution in the afterlife. It does this because it frees people from any purpose outside of themselves. God/ the gods, if they are there, have little interest in what happens on earth. They have prepared no destiny for people, nor have they preprogramed creation to be in any purposed way. As such, any purpose that the modern self gets, he gets from within. Instead of looking outside of oneself (to God or creation) for purpose and meaning, the triumph of Epicureanism drove modern people to look inside themselves to figure out who they are, and to then express what they find as their meaning. See Taylor, </w:t>
      </w:r>
      <w:r w:rsidRPr="00E94038">
        <w:rPr>
          <w:i/>
          <w:iCs/>
        </w:rPr>
        <w:t>A Secular Age</w:t>
      </w:r>
      <w:r>
        <w:t xml:space="preserve">, 367. Grant argues that the ‘popular mentality rises from the recent movement of the ‘culture of authenticity’ into mainstream society. Modern authenticity encourages us to create our own beliefs and morality, the only rule being that they must resonate with who we feel we really are. The worst thing we can do is to conform to some moral code that is imposed on us from the outside – by society, our parents, the church or whoever else. It is deemed to be self-evident that any such imposition would undermine our unique identity. Ultimately, this form of expressive individualism, with each person doing his or her own thing, leads to a form of soft moral relativism.’ Jonathan Grant, </w:t>
      </w:r>
      <w:r w:rsidRPr="001643D1">
        <w:rPr>
          <w:i/>
          <w:iCs/>
        </w:rPr>
        <w:t>Divine Sex: A Compelling Vision for Christian Relationships in a Hypersexualised Age</w:t>
      </w:r>
      <w:r>
        <w:t xml:space="preserve"> (Grand Rapids MI: BrazosPress, 2015), 30.</w:t>
      </w:r>
    </w:p>
  </w:footnote>
  <w:footnote w:id="19">
    <w:p w14:paraId="68990D40" w14:textId="32E4C164" w:rsidR="007D4F25" w:rsidRDefault="007D4F25" w:rsidP="007D4F25">
      <w:pPr>
        <w:pStyle w:val="FootnoteText"/>
      </w:pPr>
      <w:r>
        <w:rPr>
          <w:rStyle w:val="FootnoteReference"/>
        </w:rPr>
        <w:footnoteRef/>
      </w:r>
      <w:r>
        <w:t xml:space="preserve"> Taylor notes that Lucretius has provided much of the polemic against the Christian position on sexuality. For Lucretius, the denial of sexual desires is wrong and unhealthy. Sexual desire is something that ought to be expressed. Taylor notes that this sentiment begins with Epicurus and Lucretius, and is reinvigorated by Voltaire and Nietzsche before becoming the dominant assumption about sexuality in the modern western world. See Taylor, </w:t>
      </w:r>
      <w:r w:rsidRPr="00A83CC2">
        <w:rPr>
          <w:i/>
          <w:iCs/>
        </w:rPr>
        <w:t>A Secular Age</w:t>
      </w:r>
      <w:r>
        <w:t>, 626. Grant notes that by the early 20</w:t>
      </w:r>
      <w:r w:rsidRPr="00F65446">
        <w:rPr>
          <w:vertAlign w:val="superscript"/>
        </w:rPr>
        <w:t>th</w:t>
      </w:r>
      <w:r>
        <w:t xml:space="preserve"> century ‘Sex was no longer something we chose to engage in or abstain from but was now a natural force that was either embraced or denied, leading to either health/wholeness or a repressed/diseased self. The sexualisation of personal identity involved the bringing together of desire, morality, and a sense of integrity.’ See Grant, </w:t>
      </w:r>
      <w:r w:rsidRPr="001643D1">
        <w:rPr>
          <w:i/>
          <w:iCs/>
        </w:rPr>
        <w:t>Divine Sex</w:t>
      </w:r>
      <w:r>
        <w:t xml:space="preserve">, 36. </w:t>
      </w:r>
    </w:p>
  </w:footnote>
  <w:footnote w:id="20">
    <w:p w14:paraId="529E4DE7" w14:textId="3A153582" w:rsidR="007D4F25" w:rsidRDefault="007D4F25" w:rsidP="007D4F25">
      <w:pPr>
        <w:pStyle w:val="FootnoteText"/>
      </w:pPr>
      <w:r>
        <w:rPr>
          <w:rStyle w:val="FootnoteReference"/>
        </w:rPr>
        <w:footnoteRef/>
      </w:r>
      <w:r>
        <w:t xml:space="preserve"> Epicureanism and Christianity account for the realities experienced outside of a binary view of creation differently. The Christian view, according to conservatives, is that God ordered his creation in a binary way and that experiences outside of that binary order are accounted for by the Christian doctrine of the fall. However, for the Epicurean, as Wright nicely summarises ‘There is no ‘problem of evil’…; the world is what it is. We may not like it, but to assess the ‘morality’ of what happens in a random universe is to ask a meaningless question.’ See Wright, </w:t>
      </w:r>
      <w:r w:rsidRPr="00831D49">
        <w:rPr>
          <w:i/>
          <w:iCs/>
        </w:rPr>
        <w:t>History and Eschatology</w:t>
      </w:r>
      <w:r>
        <w:t>, 43. Thus for the Epicurean, experiences outside of a binary view of creation are to be expected and are equally as valid as straight experiences. After all, chaos has no purpose.</w:t>
      </w:r>
    </w:p>
  </w:footnote>
  <w:footnote w:id="21">
    <w:p w14:paraId="1E1F8836" w14:textId="4BE24557" w:rsidR="007D4F25" w:rsidRDefault="007D4F25" w:rsidP="007D4F25">
      <w:pPr>
        <w:pStyle w:val="FootnoteText"/>
      </w:pPr>
      <w:r>
        <w:rPr>
          <w:rStyle w:val="FootnoteReference"/>
        </w:rPr>
        <w:footnoteRef/>
      </w:r>
      <w:r>
        <w:t xml:space="preserve"> </w:t>
      </w:r>
      <w:r w:rsidRPr="00456633">
        <w:t xml:space="preserve">Roger E. Olson, </w:t>
      </w:r>
      <w:r w:rsidRPr="00456633">
        <w:rPr>
          <w:i/>
          <w:iCs/>
        </w:rPr>
        <w:t>The Mosaic of Christian Belief: Twenty Centuries of Unity and Diversity</w:t>
      </w:r>
      <w:r w:rsidRPr="00456633">
        <w:t xml:space="preserve"> (Downers Grove, IL: Intervarsity Press, 2002), 162. Langdon Gilkey summarises the Christian view of creation in his book </w:t>
      </w:r>
      <w:r w:rsidRPr="00456633">
        <w:rPr>
          <w:i/>
          <w:iCs/>
        </w:rPr>
        <w:t>Maker of Heaven and Earth</w:t>
      </w:r>
      <w:r w:rsidRPr="00456633">
        <w:t xml:space="preserve"> (Garden City, N.Y.: Doubleday, 1959) as </w:t>
      </w:r>
      <w:r>
        <w:t>‘</w:t>
      </w:r>
      <w:r w:rsidRPr="00456633">
        <w:t>God is the source of all that there is; creatures are dependent yet real and good; and God creates in freedom and with purpose.</w:t>
      </w:r>
      <w:r>
        <w:t>’</w:t>
      </w:r>
    </w:p>
  </w:footnote>
  <w:footnote w:id="22">
    <w:p w14:paraId="3AB94BAC" w14:textId="77777777" w:rsidR="007D4F25" w:rsidRDefault="007D4F25" w:rsidP="007D4F25">
      <w:pPr>
        <w:pStyle w:val="FootnoteText"/>
      </w:pPr>
      <w:r>
        <w:rPr>
          <w:rStyle w:val="FootnoteReference"/>
        </w:rPr>
        <w:footnoteRef/>
      </w:r>
      <w:r>
        <w:t xml:space="preserve"> By definition then the Christian sexual ethic is exclusive.</w:t>
      </w:r>
    </w:p>
  </w:footnote>
  <w:footnote w:id="23">
    <w:p w14:paraId="7198C6F8" w14:textId="06CD794B" w:rsidR="007D4F25" w:rsidRDefault="007D4F25" w:rsidP="007D4F25">
      <w:pPr>
        <w:pStyle w:val="FootnoteText"/>
      </w:pPr>
      <w:r>
        <w:rPr>
          <w:rStyle w:val="FootnoteReference"/>
        </w:rPr>
        <w:footnoteRef/>
      </w:r>
      <w:r>
        <w:t xml:space="preserve"> I suspect that the one point of agreement between the ‘conservative’ and the ‘progressive’ view on sexuality is that the Church has much need for improvement in how it has cared pastorally for people who experience same sex attraction, etc. There is a great need for research into the pastoral care of these people to be undertaken. But this research must be done from within a Christian view of creation rather than the neo-Epicureanism that pervades so much of the research to date. This research would seem especially relevant in the wake of the recent ban on conversion therapy and would hopefully result in better outcomes.  </w:t>
      </w:r>
    </w:p>
  </w:footnote>
  <w:footnote w:id="24">
    <w:p w14:paraId="243D41D4" w14:textId="50EB1655" w:rsidR="007D4F25" w:rsidRDefault="007D4F25" w:rsidP="007D4F25">
      <w:pPr>
        <w:rPr>
          <w:sz w:val="20"/>
          <w:szCs w:val="20"/>
        </w:rPr>
      </w:pPr>
      <w:r>
        <w:rPr>
          <w:vertAlign w:val="superscript"/>
        </w:rPr>
        <w:footnoteRef/>
      </w:r>
      <w:r>
        <w:rPr>
          <w:sz w:val="20"/>
          <w:szCs w:val="20"/>
        </w:rPr>
        <w:t xml:space="preserve"> Cf. ‘Counting Ourselves’ (2019), the first comprehensive national survey of health and wellbeing of trans and nonbinary people in Aotearoa New Zealand: </w:t>
      </w:r>
      <w:hyperlink r:id="rId1">
        <w:r>
          <w:rPr>
            <w:color w:val="1155CC"/>
            <w:sz w:val="20"/>
            <w:szCs w:val="20"/>
            <w:u w:val="single"/>
          </w:rPr>
          <w:t>https://countingourselves.nz/wp-content/uploads/2019/09/Counting-Ourselves_FINAL.pdf</w:t>
        </w:r>
      </w:hyperlink>
      <w:r>
        <w:rPr>
          <w:sz w:val="20"/>
          <w:szCs w:val="20"/>
        </w:rPr>
        <w:t xml:space="preserve"> </w:t>
      </w:r>
      <w:r>
        <w:rPr>
          <w:sz w:val="20"/>
          <w:szCs w:val="20"/>
        </w:rPr>
        <w:br/>
        <w:t xml:space="preserve">The section on the impact of Religion is short but points to two common experiences: first, a significant number of trans people leave church for fear of being judged; and, second, the faith of those who find a </w:t>
      </w:r>
      <w:r>
        <w:rPr>
          <w:i/>
          <w:sz w:val="20"/>
          <w:szCs w:val="20"/>
        </w:rPr>
        <w:t>welcoming</w:t>
      </w:r>
      <w:r>
        <w:rPr>
          <w:sz w:val="20"/>
          <w:szCs w:val="20"/>
        </w:rPr>
        <w:t xml:space="preserve"> and </w:t>
      </w:r>
      <w:r>
        <w:rPr>
          <w:i/>
          <w:sz w:val="20"/>
          <w:szCs w:val="20"/>
        </w:rPr>
        <w:t>inclusive</w:t>
      </w:r>
      <w:r>
        <w:rPr>
          <w:sz w:val="20"/>
          <w:szCs w:val="20"/>
        </w:rPr>
        <w:t xml:space="preserve"> community is an immense support in their coming-out.</w:t>
      </w:r>
    </w:p>
  </w:footnote>
  <w:footnote w:id="25">
    <w:p w14:paraId="5D131617" w14:textId="4F1D3F61" w:rsidR="007D4F25" w:rsidRDefault="007D4F25" w:rsidP="007D4F25">
      <w:pPr>
        <w:rPr>
          <w:sz w:val="20"/>
          <w:szCs w:val="20"/>
        </w:rPr>
      </w:pPr>
      <w:r>
        <w:rPr>
          <w:vertAlign w:val="superscript"/>
        </w:rPr>
        <w:footnoteRef/>
      </w:r>
      <w:r>
        <w:rPr>
          <w:sz w:val="20"/>
          <w:szCs w:val="20"/>
        </w:rPr>
        <w:t xml:space="preserve"> While a little out-of-date now, Stuart Edser helpfully outlines for a Christian audience the shift in scientific understanding of homosexuality in the last few decades. Our knowledge has continued to expand but his basic point still stands: being gay (and, by extension today, LGBTQIA+) is not a choice. This basic fact is now widely recognised in churches with many traditionalist churches advocating lifelong celibacy as the default biblical faithful response to one’s queerness i.e. you can’t change your orientation, but you can suppress your desire! Stuart Edser, </w:t>
      </w:r>
      <w:r>
        <w:rPr>
          <w:i/>
          <w:sz w:val="20"/>
          <w:szCs w:val="20"/>
        </w:rPr>
        <w:t xml:space="preserve">Being Gay, Being Christian: You can be both </w:t>
      </w:r>
      <w:r>
        <w:rPr>
          <w:sz w:val="20"/>
          <w:szCs w:val="20"/>
        </w:rPr>
        <w:t xml:space="preserve">(Wollombi, NSW: Exisle Publishing, 2012), 49-58.  </w:t>
      </w:r>
    </w:p>
  </w:footnote>
  <w:footnote w:id="26">
    <w:p w14:paraId="40435369" w14:textId="4590BD2B" w:rsidR="007D4F25" w:rsidRDefault="007D4F25" w:rsidP="007D4F25">
      <w:pPr>
        <w:rPr>
          <w:sz w:val="20"/>
          <w:szCs w:val="20"/>
        </w:rPr>
      </w:pPr>
      <w:r>
        <w:rPr>
          <w:vertAlign w:val="superscript"/>
        </w:rPr>
        <w:footnoteRef/>
      </w:r>
      <w:r>
        <w:rPr>
          <w:sz w:val="20"/>
          <w:szCs w:val="20"/>
        </w:rPr>
        <w:t xml:space="preserve"> Cf. Mark Achtemeier, ‘The Harvest of Despair: why traditional condemnations of gay relationships can’t be right’, in </w:t>
      </w:r>
      <w:r>
        <w:rPr>
          <w:i/>
          <w:sz w:val="20"/>
          <w:szCs w:val="20"/>
        </w:rPr>
        <w:t xml:space="preserve">The Bible’s Yes to Same-Sex Marriage </w:t>
      </w:r>
      <w:r>
        <w:rPr>
          <w:sz w:val="20"/>
          <w:szCs w:val="20"/>
        </w:rPr>
        <w:t>(Louisville: WJK, 2014), 1-16.</w:t>
      </w:r>
    </w:p>
  </w:footnote>
  <w:footnote w:id="27">
    <w:p w14:paraId="71E3C1ED" w14:textId="77777777" w:rsidR="007D4F25" w:rsidRDefault="007D4F25" w:rsidP="007D4F25">
      <w:pPr>
        <w:rPr>
          <w:sz w:val="20"/>
          <w:szCs w:val="20"/>
        </w:rPr>
      </w:pPr>
      <w:r>
        <w:rPr>
          <w:vertAlign w:val="superscript"/>
        </w:rPr>
        <w:footnoteRef/>
      </w:r>
      <w:r>
        <w:rPr>
          <w:sz w:val="20"/>
          <w:szCs w:val="20"/>
        </w:rPr>
        <w:t xml:space="preserve"> Ibid.</w:t>
      </w:r>
    </w:p>
  </w:footnote>
  <w:footnote w:id="28">
    <w:p w14:paraId="499398AF" w14:textId="13B2DE4F" w:rsidR="007D4F25" w:rsidRDefault="007D4F25" w:rsidP="007D4F25">
      <w:pPr>
        <w:rPr>
          <w:sz w:val="20"/>
          <w:szCs w:val="20"/>
        </w:rPr>
      </w:pPr>
      <w:r>
        <w:rPr>
          <w:vertAlign w:val="superscript"/>
        </w:rPr>
        <w:footnoteRef/>
      </w:r>
      <w:r>
        <w:rPr>
          <w:sz w:val="20"/>
          <w:szCs w:val="20"/>
        </w:rPr>
        <w:t xml:space="preserve"> The problem, as Elizabeth Stuart points out, is that the experiences of queer Christians are often not heard in the Church resulting in a heteronormative and cisnormative theology (i.e. binary views of sexu</w:t>
      </w:r>
      <w:r w:rsidR="00FC4218">
        <w:rPr>
          <w:sz w:val="20"/>
          <w:szCs w:val="20"/>
        </w:rPr>
        <w:t>al</w:t>
      </w:r>
      <w:r>
        <w:rPr>
          <w:sz w:val="20"/>
          <w:szCs w:val="20"/>
        </w:rPr>
        <w:t xml:space="preserve">ity and gender are normalised, privileged, absolutised, and even idolised – that is, written into the nature of God). In hearing the stories of queer Christians, the situatedness of hetero- and cis- perspectives are revealed as partial and incomplete. In short, diversity of experience unveils our own blindspots (Elizabeth Stuart, ‘Learning to trust our own experience,’ in </w:t>
      </w:r>
      <w:r>
        <w:rPr>
          <w:i/>
          <w:sz w:val="20"/>
          <w:szCs w:val="20"/>
        </w:rPr>
        <w:t xml:space="preserve">Religion is a Queer Thing </w:t>
      </w:r>
      <w:r>
        <w:rPr>
          <w:sz w:val="20"/>
          <w:szCs w:val="20"/>
        </w:rPr>
        <w:t>(Cleveland: Pilgrim Press, 1997), 20-28).</w:t>
      </w:r>
    </w:p>
  </w:footnote>
  <w:footnote w:id="29">
    <w:p w14:paraId="3E554784" w14:textId="4CC23214" w:rsidR="007D4F25" w:rsidRDefault="007D4F25" w:rsidP="007D4F25">
      <w:pPr>
        <w:rPr>
          <w:sz w:val="20"/>
          <w:szCs w:val="20"/>
        </w:rPr>
      </w:pPr>
      <w:r>
        <w:rPr>
          <w:vertAlign w:val="superscript"/>
        </w:rPr>
        <w:footnoteRef/>
      </w:r>
      <w:r>
        <w:rPr>
          <w:sz w:val="20"/>
          <w:szCs w:val="20"/>
        </w:rPr>
        <w:t xml:space="preserve"> Marcella Althaus-Reid argues that the fluidity of queer identity is ‘nomadic, unsettled … constantly on the move’ and as such ‘destabilises ideals of Christian ethics’, namely ‘an idealist, heterosexual transcendetal position’. (Marcella Althaus-Reid, </w:t>
      </w:r>
      <w:r>
        <w:rPr>
          <w:i/>
          <w:sz w:val="20"/>
          <w:szCs w:val="20"/>
        </w:rPr>
        <w:t>The Queer God</w:t>
      </w:r>
      <w:r>
        <w:rPr>
          <w:sz w:val="20"/>
          <w:szCs w:val="20"/>
        </w:rPr>
        <w:t xml:space="preserve"> (London: Routledge, 2003), 44. In this sense, queer perspectives are a nomadic voice ‘out of the wilderness’.  </w:t>
      </w:r>
    </w:p>
  </w:footnote>
  <w:footnote w:id="30">
    <w:p w14:paraId="68A579E7" w14:textId="500728AE" w:rsidR="007D4F25" w:rsidRDefault="007D4F25" w:rsidP="007D4F25">
      <w:pPr>
        <w:rPr>
          <w:sz w:val="20"/>
          <w:szCs w:val="20"/>
        </w:rPr>
      </w:pPr>
      <w:r>
        <w:rPr>
          <w:vertAlign w:val="superscript"/>
        </w:rPr>
        <w:footnoteRef/>
      </w:r>
      <w:r>
        <w:rPr>
          <w:sz w:val="20"/>
          <w:szCs w:val="20"/>
        </w:rPr>
        <w:t xml:space="preserve"> David Gushee helpfully outlines how the traditionalist position, which is dependent on joining certain scriptural dots, is a variation on the following: Gen 1-2, Gen 19, Lev 18:22/20:13, Judg 19, Matt 19:1-12, Rom 1:26-27, 1 Cor 6:9/1 Tim 1:10, Eph 5:22-33. David Gushee, </w:t>
      </w:r>
      <w:r>
        <w:rPr>
          <w:i/>
          <w:sz w:val="20"/>
          <w:szCs w:val="20"/>
        </w:rPr>
        <w:t xml:space="preserve">Changing our mind, </w:t>
      </w:r>
      <w:r>
        <w:rPr>
          <w:sz w:val="20"/>
          <w:szCs w:val="20"/>
        </w:rPr>
        <w:t>2nd ed.</w:t>
      </w:r>
      <w:r>
        <w:rPr>
          <w:i/>
          <w:sz w:val="20"/>
          <w:szCs w:val="20"/>
        </w:rPr>
        <w:t xml:space="preserve"> </w:t>
      </w:r>
      <w:r>
        <w:rPr>
          <w:sz w:val="20"/>
          <w:szCs w:val="20"/>
        </w:rPr>
        <w:t>(Canton: Read the Spirit Books, 2015), 54-57.</w:t>
      </w:r>
      <w:r>
        <w:rPr>
          <w:sz w:val="20"/>
          <w:szCs w:val="20"/>
        </w:rPr>
        <w:br/>
        <w:t>The two theological claims that emerge are 1) the male/female sexual/gender complementarity is God’s intended order of things, and 2) hom</w:t>
      </w:r>
      <w:r w:rsidR="00FC4218">
        <w:rPr>
          <w:sz w:val="20"/>
          <w:szCs w:val="20"/>
        </w:rPr>
        <w:t>o</w:t>
      </w:r>
      <w:r>
        <w:rPr>
          <w:sz w:val="20"/>
          <w:szCs w:val="20"/>
        </w:rPr>
        <w:t xml:space="preserve">sexuality is an abomination or distortion of God’s order. There are many examples of quality biblical exegesis exploring the context of these verses and why they </w:t>
      </w:r>
      <w:r>
        <w:rPr>
          <w:i/>
          <w:sz w:val="20"/>
          <w:szCs w:val="20"/>
        </w:rPr>
        <w:t>shouldn’t</w:t>
      </w:r>
      <w:r>
        <w:rPr>
          <w:sz w:val="20"/>
          <w:szCs w:val="20"/>
        </w:rPr>
        <w:t xml:space="preserve"> be applied to modern conversations about sexuality and gender. Gushee, (</w:t>
      </w:r>
      <w:r>
        <w:rPr>
          <w:i/>
          <w:sz w:val="20"/>
          <w:szCs w:val="20"/>
        </w:rPr>
        <w:t>Changing our mind)</w:t>
      </w:r>
      <w:r>
        <w:rPr>
          <w:sz w:val="20"/>
          <w:szCs w:val="20"/>
        </w:rPr>
        <w:t>, and Achtemeier (</w:t>
      </w:r>
      <w:r>
        <w:rPr>
          <w:i/>
          <w:sz w:val="20"/>
          <w:szCs w:val="20"/>
        </w:rPr>
        <w:t>The Bible’s Yes to Same-Sex Marriage)</w:t>
      </w:r>
      <w:r>
        <w:rPr>
          <w:sz w:val="20"/>
          <w:szCs w:val="20"/>
        </w:rPr>
        <w:t xml:space="preserve"> provide good overviews. NT Wright points out that the Church must be wary of applying words ending in -ity and -ism (e.g. homosexual</w:t>
      </w:r>
      <w:r>
        <w:rPr>
          <w:i/>
          <w:sz w:val="20"/>
          <w:szCs w:val="20"/>
        </w:rPr>
        <w:t>ity</w:t>
      </w:r>
      <w:r>
        <w:rPr>
          <w:sz w:val="20"/>
          <w:szCs w:val="20"/>
        </w:rPr>
        <w:t xml:space="preserve">) to scripture because these are modern conceptual abstractions invented in the nineteenth century. To read these </w:t>
      </w:r>
      <w:r>
        <w:rPr>
          <w:i/>
          <w:sz w:val="20"/>
          <w:szCs w:val="20"/>
        </w:rPr>
        <w:t>into</w:t>
      </w:r>
      <w:r>
        <w:rPr>
          <w:sz w:val="20"/>
          <w:szCs w:val="20"/>
        </w:rPr>
        <w:t xml:space="preserve"> the biblical texts and to then apply these texts (e.g. Judges 19) as a kind of proof-texting </w:t>
      </w:r>
      <w:r w:rsidR="00FC4218">
        <w:rPr>
          <w:sz w:val="20"/>
          <w:szCs w:val="20"/>
        </w:rPr>
        <w:t xml:space="preserve">seems to some Christians to be </w:t>
      </w:r>
      <w:r>
        <w:rPr>
          <w:sz w:val="20"/>
          <w:szCs w:val="20"/>
        </w:rPr>
        <w:t>a highly problematic form of eisegesis.</w:t>
      </w:r>
    </w:p>
  </w:footnote>
  <w:footnote w:id="31">
    <w:p w14:paraId="2F4282CA" w14:textId="77777777" w:rsidR="007D4F25" w:rsidRDefault="007D4F25" w:rsidP="007D4F25">
      <w:pPr>
        <w:rPr>
          <w:sz w:val="20"/>
          <w:szCs w:val="20"/>
        </w:rPr>
      </w:pPr>
      <w:r>
        <w:rPr>
          <w:vertAlign w:val="superscript"/>
        </w:rPr>
        <w:footnoteRef/>
      </w:r>
      <w:r>
        <w:rPr>
          <w:sz w:val="20"/>
          <w:szCs w:val="20"/>
        </w:rPr>
        <w:t xml:space="preserve"> John Calvin, </w:t>
      </w:r>
      <w:r>
        <w:rPr>
          <w:i/>
          <w:sz w:val="20"/>
          <w:szCs w:val="20"/>
        </w:rPr>
        <w:t xml:space="preserve">Institutes of the Christian Religion, </w:t>
      </w:r>
      <w:r>
        <w:rPr>
          <w:sz w:val="20"/>
          <w:szCs w:val="20"/>
        </w:rPr>
        <w:t>I.vii.5</w:t>
      </w:r>
    </w:p>
  </w:footnote>
  <w:footnote w:id="32">
    <w:p w14:paraId="25A03A21" w14:textId="4078C78D" w:rsidR="007D4F25" w:rsidRDefault="007D4F25" w:rsidP="007D4F25">
      <w:pPr>
        <w:rPr>
          <w:sz w:val="20"/>
          <w:szCs w:val="20"/>
        </w:rPr>
      </w:pPr>
      <w:r>
        <w:rPr>
          <w:vertAlign w:val="superscript"/>
        </w:rPr>
        <w:footnoteRef/>
      </w:r>
      <w:r>
        <w:rPr>
          <w:sz w:val="20"/>
          <w:szCs w:val="20"/>
        </w:rPr>
        <w:t xml:space="preserve"> See Janet Martin Soskice, ‘‘The truth looks different from here’ or On seeking the unity of truth from a diversity of perspectives’, </w:t>
      </w:r>
      <w:r>
        <w:rPr>
          <w:i/>
          <w:sz w:val="20"/>
          <w:szCs w:val="20"/>
        </w:rPr>
        <w:t>New Blackfriars</w:t>
      </w:r>
      <w:r>
        <w:rPr>
          <w:sz w:val="20"/>
          <w:szCs w:val="20"/>
        </w:rPr>
        <w:t>, Vol. 73(865), 1992, 528-542</w:t>
      </w:r>
    </w:p>
  </w:footnote>
  <w:footnote w:id="33">
    <w:p w14:paraId="0EE2C70D" w14:textId="77777777" w:rsidR="007D4F25" w:rsidRDefault="007D4F25" w:rsidP="007D4F25">
      <w:pPr>
        <w:rPr>
          <w:sz w:val="20"/>
          <w:szCs w:val="20"/>
        </w:rPr>
      </w:pPr>
      <w:r>
        <w:rPr>
          <w:vertAlign w:val="superscript"/>
        </w:rPr>
        <w:footnoteRef/>
      </w:r>
      <w:r>
        <w:rPr>
          <w:sz w:val="20"/>
          <w:szCs w:val="20"/>
        </w:rPr>
        <w:t xml:space="preserve"> Gushee, </w:t>
      </w:r>
      <w:r>
        <w:rPr>
          <w:i/>
          <w:sz w:val="20"/>
          <w:szCs w:val="20"/>
        </w:rPr>
        <w:t xml:space="preserve">Changing our mind, </w:t>
      </w:r>
      <w:r>
        <w:rPr>
          <w:sz w:val="20"/>
          <w:szCs w:val="20"/>
        </w:rPr>
        <w:t>91ff.</w:t>
      </w:r>
    </w:p>
  </w:footnote>
  <w:footnote w:id="34">
    <w:p w14:paraId="2CFB0701" w14:textId="69778606" w:rsidR="007D4F25" w:rsidRDefault="007D4F25" w:rsidP="007D4F25">
      <w:pPr>
        <w:rPr>
          <w:sz w:val="20"/>
          <w:szCs w:val="20"/>
        </w:rPr>
      </w:pPr>
      <w:r>
        <w:rPr>
          <w:vertAlign w:val="superscript"/>
        </w:rPr>
        <w:footnoteRef/>
      </w:r>
      <w:r>
        <w:rPr>
          <w:sz w:val="20"/>
          <w:szCs w:val="20"/>
        </w:rPr>
        <w:t xml:space="preserve"> Douglas Campbell unpacks this basic point in </w:t>
      </w:r>
      <w:r>
        <w:rPr>
          <w:i/>
          <w:sz w:val="20"/>
          <w:szCs w:val="20"/>
        </w:rPr>
        <w:t>The Triumph of God’s Love: Pauline Dogmatics</w:t>
      </w:r>
      <w:r>
        <w:rPr>
          <w:sz w:val="20"/>
          <w:szCs w:val="20"/>
        </w:rPr>
        <w:t xml:space="preserve"> (Grand Rapids, MI: William B. Eerdmans, 2020), 72-91. Campbell contrasts a ‘memoir’ retrospective reading of scripture with a ‘quest’ progressive reading of scripture. A ‘quest’ reading (like The Lord of the Rings) </w:t>
      </w:r>
      <w:r>
        <w:rPr>
          <w:i/>
          <w:sz w:val="20"/>
          <w:szCs w:val="20"/>
        </w:rPr>
        <w:t xml:space="preserve">begins </w:t>
      </w:r>
      <w:r>
        <w:rPr>
          <w:sz w:val="20"/>
          <w:szCs w:val="20"/>
        </w:rPr>
        <w:t xml:space="preserve">with the problem and proceeds in a linear fashion towards the solution. In this way, the </w:t>
      </w:r>
      <w:r>
        <w:rPr>
          <w:i/>
          <w:sz w:val="20"/>
          <w:szCs w:val="20"/>
        </w:rPr>
        <w:t>problem</w:t>
      </w:r>
      <w:r>
        <w:rPr>
          <w:sz w:val="20"/>
          <w:szCs w:val="20"/>
        </w:rPr>
        <w:t xml:space="preserve"> predetermines the reader’s expectations of the story and the eventual solution.</w:t>
      </w:r>
    </w:p>
  </w:footnote>
  <w:footnote w:id="35">
    <w:p w14:paraId="35487D91" w14:textId="77777777" w:rsidR="007D4F25" w:rsidRDefault="007D4F25" w:rsidP="007D4F25">
      <w:pPr>
        <w:rPr>
          <w:sz w:val="20"/>
          <w:szCs w:val="20"/>
        </w:rPr>
      </w:pPr>
      <w:r>
        <w:rPr>
          <w:vertAlign w:val="superscript"/>
        </w:rPr>
        <w:footnoteRef/>
      </w:r>
      <w:r>
        <w:rPr>
          <w:sz w:val="20"/>
          <w:szCs w:val="20"/>
        </w:rPr>
        <w:t xml:space="preserve"> Gushee, </w:t>
      </w:r>
      <w:r>
        <w:rPr>
          <w:i/>
          <w:sz w:val="20"/>
          <w:szCs w:val="20"/>
        </w:rPr>
        <w:t>Changing our mind,</w:t>
      </w:r>
      <w:r>
        <w:rPr>
          <w:sz w:val="20"/>
          <w:szCs w:val="20"/>
        </w:rPr>
        <w:t xml:space="preserve"> 106-111.</w:t>
      </w:r>
    </w:p>
  </w:footnote>
  <w:footnote w:id="36">
    <w:p w14:paraId="3905F31A" w14:textId="3DB08CF4" w:rsidR="007D4F25" w:rsidRDefault="007D4F25" w:rsidP="007D4F25">
      <w:pPr>
        <w:rPr>
          <w:sz w:val="20"/>
          <w:szCs w:val="20"/>
        </w:rPr>
      </w:pPr>
      <w:r>
        <w:rPr>
          <w:vertAlign w:val="superscript"/>
        </w:rPr>
        <w:footnoteRef/>
      </w:r>
      <w:r>
        <w:rPr>
          <w:sz w:val="20"/>
          <w:szCs w:val="20"/>
        </w:rPr>
        <w:t xml:space="preserve"> For Paul, the new creation is anticipated now through the transformation and renewal of our minds (cf. 2 Cor 4-5, Ro</w:t>
      </w:r>
      <w:r w:rsidR="00FC4218">
        <w:rPr>
          <w:sz w:val="20"/>
          <w:szCs w:val="20"/>
        </w:rPr>
        <w:t>m</w:t>
      </w:r>
      <w:r>
        <w:rPr>
          <w:sz w:val="20"/>
          <w:szCs w:val="20"/>
        </w:rPr>
        <w:t xml:space="preserve"> 12:2). Richard Hays explains how Paul helped the early Gentile church to </w:t>
      </w:r>
      <w:r>
        <w:rPr>
          <w:i/>
          <w:sz w:val="20"/>
          <w:szCs w:val="20"/>
        </w:rPr>
        <w:t>think</w:t>
      </w:r>
      <w:r>
        <w:rPr>
          <w:sz w:val="20"/>
          <w:szCs w:val="20"/>
        </w:rPr>
        <w:t xml:space="preserve"> eschatologically by placing them within the story of Israel. He thus used the Hebrew scriptures to shape the identity and expectations of the Church, which lives in anticipation of the new creation. This highly creative and poetic use of scripture </w:t>
      </w:r>
      <w:r>
        <w:rPr>
          <w:i/>
          <w:sz w:val="20"/>
          <w:szCs w:val="20"/>
        </w:rPr>
        <w:t>begins</w:t>
      </w:r>
      <w:r>
        <w:rPr>
          <w:sz w:val="20"/>
          <w:szCs w:val="20"/>
        </w:rPr>
        <w:t xml:space="preserve"> with the eschatological reality of resurrection in Christ and reads scripture </w:t>
      </w:r>
      <w:r>
        <w:rPr>
          <w:i/>
          <w:sz w:val="20"/>
          <w:szCs w:val="20"/>
        </w:rPr>
        <w:t>retrospectively.</w:t>
      </w:r>
      <w:r>
        <w:rPr>
          <w:sz w:val="20"/>
          <w:szCs w:val="20"/>
        </w:rPr>
        <w:t xml:space="preserve"> Hays looks to Paul to carve out a third way of reading scripture between the two options that tend to dominate the Church: the first is the liberal ‘demythologizing’ hermeneutic; the second is the conservative ‘literalist’ hermeneutic. So Hays argues: ‘in contrast to the demythologizing hermeneutic, Paul celebrated Scripture’s witness to the real and radical apocalyptic action of God in the world; in contrast to the literalist hermeneutic, Paul engaged Scripture with imaginative freedom, without the characteristic modernist anxiety about factuality and authorial intention.’ Richard B. Hays, </w:t>
      </w:r>
      <w:r>
        <w:rPr>
          <w:i/>
          <w:sz w:val="20"/>
          <w:szCs w:val="20"/>
        </w:rPr>
        <w:t xml:space="preserve">The Conversion of the Imagination: Paul as Interpreter of Israel’s Scripture </w:t>
      </w:r>
      <w:r>
        <w:rPr>
          <w:sz w:val="20"/>
          <w:szCs w:val="20"/>
        </w:rPr>
        <w:t>(Grand Rapids, MI: Wm. B. Eerdmans, 2005), viii-xvii.</w:t>
      </w:r>
    </w:p>
  </w:footnote>
  <w:footnote w:id="37">
    <w:p w14:paraId="344BF49A" w14:textId="391C3C24" w:rsidR="007D4F25" w:rsidRDefault="007D4F25" w:rsidP="007D4F25">
      <w:pPr>
        <w:rPr>
          <w:sz w:val="20"/>
          <w:szCs w:val="20"/>
        </w:rPr>
      </w:pPr>
      <w:r>
        <w:rPr>
          <w:vertAlign w:val="superscript"/>
        </w:rPr>
        <w:footnoteRef/>
      </w:r>
      <w:r>
        <w:rPr>
          <w:sz w:val="20"/>
          <w:szCs w:val="20"/>
        </w:rPr>
        <w:t xml:space="preserve"> Douglas Campbell, ‘Some thoughts on the Apostle Paul and ethics’ in </w:t>
      </w:r>
      <w:r>
        <w:rPr>
          <w:i/>
          <w:sz w:val="20"/>
          <w:szCs w:val="20"/>
        </w:rPr>
        <w:t>More than a Single Issue</w:t>
      </w:r>
      <w:r>
        <w:rPr>
          <w:sz w:val="20"/>
          <w:szCs w:val="20"/>
        </w:rPr>
        <w:t>, ed. Murray Rae &amp; Graham Redding</w:t>
      </w:r>
      <w:r>
        <w:rPr>
          <w:i/>
          <w:sz w:val="20"/>
          <w:szCs w:val="20"/>
        </w:rPr>
        <w:t xml:space="preserve"> </w:t>
      </w:r>
      <w:r>
        <w:rPr>
          <w:sz w:val="20"/>
          <w:szCs w:val="20"/>
        </w:rPr>
        <w:t xml:space="preserve">(Adelaide: </w:t>
      </w:r>
      <w:r w:rsidR="00FC4218">
        <w:rPr>
          <w:sz w:val="20"/>
          <w:szCs w:val="20"/>
        </w:rPr>
        <w:t>Australian Theological Forum</w:t>
      </w:r>
      <w:r>
        <w:rPr>
          <w:sz w:val="20"/>
          <w:szCs w:val="20"/>
        </w:rPr>
        <w:t>, 2000), 77-94.</w:t>
      </w:r>
    </w:p>
  </w:footnote>
  <w:footnote w:id="38">
    <w:p w14:paraId="60F38EB6" w14:textId="48827E40" w:rsidR="007D4F25" w:rsidRDefault="007D4F25" w:rsidP="007D4F25">
      <w:pPr>
        <w:rPr>
          <w:sz w:val="20"/>
          <w:szCs w:val="20"/>
        </w:rPr>
      </w:pPr>
      <w:r>
        <w:rPr>
          <w:vertAlign w:val="superscript"/>
        </w:rPr>
        <w:footnoteRef/>
      </w:r>
      <w:r>
        <w:rPr>
          <w:sz w:val="20"/>
          <w:szCs w:val="20"/>
        </w:rPr>
        <w:t xml:space="preserve"> Beverley Gaventa helpfully points to the centrality of the birthing imagery in Romans 8. The old creation is ‘groaning in labour pains’ in anticipation of the new, redeemed creation. There is continuity but, as Gaventa notes, there is also radical discontinuity. The glorious apocalyptic unveiling of the children of God is scarcely imaginable – and yet all creation </w:t>
      </w:r>
      <w:r>
        <w:rPr>
          <w:i/>
          <w:sz w:val="20"/>
          <w:szCs w:val="20"/>
        </w:rPr>
        <w:t>now</w:t>
      </w:r>
      <w:r>
        <w:rPr>
          <w:sz w:val="20"/>
          <w:szCs w:val="20"/>
        </w:rPr>
        <w:t xml:space="preserve"> is agitated by its coming. The point is an important one: we do not read the old creation </w:t>
      </w:r>
      <w:r>
        <w:rPr>
          <w:i/>
          <w:sz w:val="20"/>
          <w:szCs w:val="20"/>
        </w:rPr>
        <w:t>into</w:t>
      </w:r>
      <w:r>
        <w:rPr>
          <w:sz w:val="20"/>
          <w:szCs w:val="20"/>
        </w:rPr>
        <w:t xml:space="preserve"> the new creation. Rather, the resurrection imagination of life in the </w:t>
      </w:r>
      <w:r>
        <w:rPr>
          <w:i/>
          <w:sz w:val="20"/>
          <w:szCs w:val="20"/>
        </w:rPr>
        <w:t xml:space="preserve">new </w:t>
      </w:r>
      <w:r>
        <w:rPr>
          <w:sz w:val="20"/>
          <w:szCs w:val="20"/>
        </w:rPr>
        <w:t xml:space="preserve">creation shapes and informs the Church’s ethics in the present age. Beverley Roberts Gaventa, </w:t>
      </w:r>
      <w:r>
        <w:rPr>
          <w:i/>
          <w:sz w:val="20"/>
          <w:szCs w:val="20"/>
        </w:rPr>
        <w:t>Our Mother Saint Paul</w:t>
      </w:r>
      <w:r>
        <w:rPr>
          <w:sz w:val="20"/>
          <w:szCs w:val="20"/>
        </w:rPr>
        <w:t xml:space="preserve"> (Louisville: WJK, 2007), 51-62</w:t>
      </w:r>
    </w:p>
  </w:footnote>
  <w:footnote w:id="39">
    <w:p w14:paraId="7AB6C2FE" w14:textId="32D9677E" w:rsidR="007D4F25" w:rsidRDefault="007D4F25" w:rsidP="007D4F25">
      <w:pPr>
        <w:rPr>
          <w:sz w:val="20"/>
          <w:szCs w:val="20"/>
        </w:rPr>
      </w:pPr>
      <w:r>
        <w:rPr>
          <w:vertAlign w:val="superscript"/>
        </w:rPr>
        <w:footnoteRef/>
      </w:r>
      <w:r>
        <w:rPr>
          <w:sz w:val="20"/>
          <w:szCs w:val="20"/>
        </w:rPr>
        <w:t xml:space="preserve"> Campbell,’Some thoughts on the Apostle Paul and ethics’, 88.</w:t>
      </w:r>
    </w:p>
  </w:footnote>
  <w:footnote w:id="40">
    <w:p w14:paraId="5063732C" w14:textId="77777777" w:rsidR="007D4F25" w:rsidRDefault="007D4F25" w:rsidP="007D4F25">
      <w:pPr>
        <w:rPr>
          <w:sz w:val="20"/>
          <w:szCs w:val="20"/>
        </w:rPr>
      </w:pPr>
      <w:r>
        <w:rPr>
          <w:vertAlign w:val="superscript"/>
        </w:rPr>
        <w:footnoteRef/>
      </w:r>
      <w:r>
        <w:rPr>
          <w:sz w:val="20"/>
          <w:szCs w:val="20"/>
        </w:rPr>
        <w:t xml:space="preserve"> Gushee, </w:t>
      </w:r>
      <w:r>
        <w:rPr>
          <w:i/>
          <w:sz w:val="20"/>
          <w:szCs w:val="20"/>
        </w:rPr>
        <w:t>Changing our mind,</w:t>
      </w:r>
      <w:r>
        <w:rPr>
          <w:sz w:val="20"/>
          <w:szCs w:val="20"/>
        </w:rPr>
        <w:t xml:space="preserve"> 95.</w:t>
      </w:r>
    </w:p>
  </w:footnote>
  <w:footnote w:id="41">
    <w:p w14:paraId="12464437" w14:textId="265ADF11" w:rsidR="007D4F25" w:rsidRDefault="007D4F25" w:rsidP="007D4F25">
      <w:pPr>
        <w:rPr>
          <w:sz w:val="20"/>
          <w:szCs w:val="20"/>
        </w:rPr>
      </w:pPr>
      <w:r>
        <w:rPr>
          <w:vertAlign w:val="superscript"/>
        </w:rPr>
        <w:footnoteRef/>
      </w:r>
      <w:r>
        <w:rPr>
          <w:sz w:val="20"/>
          <w:szCs w:val="20"/>
        </w:rPr>
        <w:t xml:space="preserve"> This is an example of </w:t>
      </w:r>
      <w:r>
        <w:rPr>
          <w:i/>
          <w:sz w:val="20"/>
          <w:szCs w:val="20"/>
        </w:rPr>
        <w:t>Sachkritik,</w:t>
      </w:r>
      <w:r>
        <w:rPr>
          <w:sz w:val="20"/>
          <w:szCs w:val="20"/>
        </w:rPr>
        <w:t xml:space="preserve"> that is, interpreting scripture passages in light of the gospel that the author intended to communicate. In this case, one is ‘reading Paul in light of Paul’, giving certain passages greater weight than others. Campbell, </w:t>
      </w:r>
      <w:r>
        <w:rPr>
          <w:i/>
          <w:sz w:val="20"/>
          <w:szCs w:val="20"/>
        </w:rPr>
        <w:t xml:space="preserve">The Triumph of God’s Love, </w:t>
      </w:r>
      <w:r>
        <w:rPr>
          <w:sz w:val="20"/>
          <w:szCs w:val="20"/>
        </w:rPr>
        <w:t>7-8.</w:t>
      </w:r>
    </w:p>
  </w:footnote>
  <w:footnote w:id="42">
    <w:p w14:paraId="2CB3B4AB" w14:textId="77777777" w:rsidR="007D4F25" w:rsidRDefault="007D4F25" w:rsidP="007D4F25">
      <w:pPr>
        <w:rPr>
          <w:sz w:val="20"/>
          <w:szCs w:val="20"/>
        </w:rPr>
      </w:pPr>
      <w:r>
        <w:rPr>
          <w:vertAlign w:val="superscript"/>
        </w:rPr>
        <w:footnoteRef/>
      </w:r>
      <w:r>
        <w:rPr>
          <w:sz w:val="20"/>
          <w:szCs w:val="20"/>
        </w:rPr>
        <w:t xml:space="preserve"> I.e. there is not only day and night, there is also twilight; there is not only land and sea, there are also wetlands, rivers, deserts, forests etc.</w:t>
      </w:r>
    </w:p>
  </w:footnote>
  <w:footnote w:id="43">
    <w:p w14:paraId="0526D0ED" w14:textId="715C399F" w:rsidR="007D4F25" w:rsidRDefault="007D4F25" w:rsidP="007D4F25">
      <w:pPr>
        <w:rPr>
          <w:sz w:val="20"/>
          <w:szCs w:val="20"/>
        </w:rPr>
      </w:pPr>
      <w:r>
        <w:rPr>
          <w:vertAlign w:val="superscript"/>
        </w:rPr>
        <w:footnoteRef/>
      </w:r>
      <w:r>
        <w:rPr>
          <w:sz w:val="20"/>
          <w:szCs w:val="20"/>
        </w:rPr>
        <w:t xml:space="preserve"> Achtemeier, </w:t>
      </w:r>
      <w:r>
        <w:rPr>
          <w:i/>
          <w:sz w:val="20"/>
          <w:szCs w:val="20"/>
        </w:rPr>
        <w:t xml:space="preserve">The Bible’s Yes to Same-Sex Marriage, </w:t>
      </w:r>
      <w:r>
        <w:rPr>
          <w:sz w:val="20"/>
          <w:szCs w:val="20"/>
        </w:rPr>
        <w:t>43-56.</w:t>
      </w:r>
    </w:p>
  </w:footnote>
  <w:footnote w:id="44">
    <w:p w14:paraId="3D29CE8B" w14:textId="71FF903B" w:rsidR="007D4F25" w:rsidRDefault="007D4F25" w:rsidP="007D4F25">
      <w:pPr>
        <w:rPr>
          <w:sz w:val="20"/>
          <w:szCs w:val="20"/>
        </w:rPr>
      </w:pPr>
      <w:r>
        <w:rPr>
          <w:vertAlign w:val="superscript"/>
        </w:rPr>
        <w:footnoteRef/>
      </w:r>
      <w:r>
        <w:rPr>
          <w:sz w:val="20"/>
          <w:szCs w:val="20"/>
        </w:rPr>
        <w:t xml:space="preserve"> Sarah Coakley’s excellent book, </w:t>
      </w:r>
      <w:r>
        <w:rPr>
          <w:i/>
          <w:sz w:val="20"/>
          <w:szCs w:val="20"/>
        </w:rPr>
        <w:t>The New Asceticism,</w:t>
      </w:r>
      <w:r>
        <w:rPr>
          <w:sz w:val="20"/>
          <w:szCs w:val="20"/>
        </w:rPr>
        <w:t xml:space="preserve"> contains a chapter on the gender subversion of women who preside over Holy Communion. She explores the gendered imagery (both male and female) at the heart of the eucharistic drama. Christ as our High Priest both represents God to the people and the people to God. In this way, Christ himself as presider over the Table, plays both a ‘masculine’ and ‘feminine’ role. This gender fluidity within the inner logic of the eucharistic liturgy does not result in the dissolution of gender – but it also moves beyond a clear binary distinction. Coakley, </w:t>
      </w:r>
      <w:r>
        <w:rPr>
          <w:i/>
          <w:sz w:val="20"/>
          <w:szCs w:val="20"/>
        </w:rPr>
        <w:t xml:space="preserve">The New Asceticism </w:t>
      </w:r>
      <w:r>
        <w:rPr>
          <w:sz w:val="20"/>
          <w:szCs w:val="20"/>
        </w:rPr>
        <w:t xml:space="preserve">(London: Bloomsbury Continuum, 2015). See also: Coakley, </w:t>
      </w:r>
      <w:r>
        <w:rPr>
          <w:i/>
          <w:sz w:val="20"/>
          <w:szCs w:val="20"/>
        </w:rPr>
        <w:t xml:space="preserve">God, Sexuality &amp; the Self </w:t>
      </w:r>
      <w:r>
        <w:rPr>
          <w:sz w:val="20"/>
          <w:szCs w:val="20"/>
        </w:rPr>
        <w:t>(Cambridge: University Press,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F7A3" w14:textId="77777777" w:rsidR="00994255" w:rsidRDefault="00994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FEF0" w14:textId="77777777" w:rsidR="00994255" w:rsidRDefault="00994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103F" w14:textId="77777777" w:rsidR="00994255" w:rsidRDefault="00994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527BA"/>
    <w:multiLevelType w:val="hybridMultilevel"/>
    <w:tmpl w:val="AC641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1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20"/>
    <w:rsid w:val="0004771A"/>
    <w:rsid w:val="00047FB3"/>
    <w:rsid w:val="00052848"/>
    <w:rsid w:val="000616D5"/>
    <w:rsid w:val="00061CD7"/>
    <w:rsid w:val="00092E39"/>
    <w:rsid w:val="000A5A00"/>
    <w:rsid w:val="0010386A"/>
    <w:rsid w:val="00104998"/>
    <w:rsid w:val="00126364"/>
    <w:rsid w:val="00131486"/>
    <w:rsid w:val="00160B73"/>
    <w:rsid w:val="001662D9"/>
    <w:rsid w:val="00183A4D"/>
    <w:rsid w:val="001933DC"/>
    <w:rsid w:val="001A1B4F"/>
    <w:rsid w:val="001A2B7C"/>
    <w:rsid w:val="001A7372"/>
    <w:rsid w:val="001B1497"/>
    <w:rsid w:val="001B6C25"/>
    <w:rsid w:val="001B7521"/>
    <w:rsid w:val="001C1216"/>
    <w:rsid w:val="001D77B4"/>
    <w:rsid w:val="00224914"/>
    <w:rsid w:val="00224B53"/>
    <w:rsid w:val="00237099"/>
    <w:rsid w:val="002371FC"/>
    <w:rsid w:val="0025575D"/>
    <w:rsid w:val="00284988"/>
    <w:rsid w:val="002C3596"/>
    <w:rsid w:val="002C5133"/>
    <w:rsid w:val="002F147A"/>
    <w:rsid w:val="002F1975"/>
    <w:rsid w:val="002F7100"/>
    <w:rsid w:val="00302E46"/>
    <w:rsid w:val="00327B3A"/>
    <w:rsid w:val="00336368"/>
    <w:rsid w:val="00343414"/>
    <w:rsid w:val="003638C8"/>
    <w:rsid w:val="00380A97"/>
    <w:rsid w:val="00393F35"/>
    <w:rsid w:val="00396319"/>
    <w:rsid w:val="003A1984"/>
    <w:rsid w:val="003B7252"/>
    <w:rsid w:val="003C0612"/>
    <w:rsid w:val="003E1BA9"/>
    <w:rsid w:val="003F7775"/>
    <w:rsid w:val="004049DC"/>
    <w:rsid w:val="004144EC"/>
    <w:rsid w:val="00416522"/>
    <w:rsid w:val="00434AE7"/>
    <w:rsid w:val="00436587"/>
    <w:rsid w:val="00450453"/>
    <w:rsid w:val="00490E4D"/>
    <w:rsid w:val="004B05F0"/>
    <w:rsid w:val="004B7F0F"/>
    <w:rsid w:val="004E57F5"/>
    <w:rsid w:val="004F033A"/>
    <w:rsid w:val="004F1636"/>
    <w:rsid w:val="004F4DDA"/>
    <w:rsid w:val="005036C9"/>
    <w:rsid w:val="0051064F"/>
    <w:rsid w:val="00511672"/>
    <w:rsid w:val="005818D3"/>
    <w:rsid w:val="00591F1B"/>
    <w:rsid w:val="00592173"/>
    <w:rsid w:val="00596764"/>
    <w:rsid w:val="005A1829"/>
    <w:rsid w:val="005C10A5"/>
    <w:rsid w:val="005E1960"/>
    <w:rsid w:val="005F1A9F"/>
    <w:rsid w:val="005F4220"/>
    <w:rsid w:val="005F5CFE"/>
    <w:rsid w:val="006017A4"/>
    <w:rsid w:val="00611DAF"/>
    <w:rsid w:val="006343A8"/>
    <w:rsid w:val="006579C2"/>
    <w:rsid w:val="00660134"/>
    <w:rsid w:val="00684914"/>
    <w:rsid w:val="006C6E5F"/>
    <w:rsid w:val="006E2759"/>
    <w:rsid w:val="00725521"/>
    <w:rsid w:val="0072593A"/>
    <w:rsid w:val="0074184D"/>
    <w:rsid w:val="00750191"/>
    <w:rsid w:val="00750EEE"/>
    <w:rsid w:val="007512E0"/>
    <w:rsid w:val="007556DD"/>
    <w:rsid w:val="00757EFD"/>
    <w:rsid w:val="00784623"/>
    <w:rsid w:val="007A3C6B"/>
    <w:rsid w:val="007B1D9D"/>
    <w:rsid w:val="007C31D5"/>
    <w:rsid w:val="007D4F25"/>
    <w:rsid w:val="007D76F1"/>
    <w:rsid w:val="007E008C"/>
    <w:rsid w:val="007F1283"/>
    <w:rsid w:val="007F727D"/>
    <w:rsid w:val="008279CC"/>
    <w:rsid w:val="00845F39"/>
    <w:rsid w:val="008761A8"/>
    <w:rsid w:val="00880336"/>
    <w:rsid w:val="008860B1"/>
    <w:rsid w:val="008955E9"/>
    <w:rsid w:val="008A1AE2"/>
    <w:rsid w:val="008C26A8"/>
    <w:rsid w:val="008F2B46"/>
    <w:rsid w:val="008F6A1B"/>
    <w:rsid w:val="00910E3D"/>
    <w:rsid w:val="00912846"/>
    <w:rsid w:val="00916DF5"/>
    <w:rsid w:val="00920918"/>
    <w:rsid w:val="00924CB8"/>
    <w:rsid w:val="0093710C"/>
    <w:rsid w:val="00976ADF"/>
    <w:rsid w:val="00994255"/>
    <w:rsid w:val="009970E1"/>
    <w:rsid w:val="009C1F77"/>
    <w:rsid w:val="009E1ABF"/>
    <w:rsid w:val="009E22ED"/>
    <w:rsid w:val="00A0770D"/>
    <w:rsid w:val="00A406A0"/>
    <w:rsid w:val="00A426F8"/>
    <w:rsid w:val="00A53114"/>
    <w:rsid w:val="00A53699"/>
    <w:rsid w:val="00A67399"/>
    <w:rsid w:val="00A71B0E"/>
    <w:rsid w:val="00A74215"/>
    <w:rsid w:val="00A777B8"/>
    <w:rsid w:val="00A96A0B"/>
    <w:rsid w:val="00AC1EF7"/>
    <w:rsid w:val="00AC36E7"/>
    <w:rsid w:val="00AE7EB0"/>
    <w:rsid w:val="00B00473"/>
    <w:rsid w:val="00B14D4D"/>
    <w:rsid w:val="00B1585B"/>
    <w:rsid w:val="00B17BD1"/>
    <w:rsid w:val="00B4739D"/>
    <w:rsid w:val="00B47F86"/>
    <w:rsid w:val="00B67648"/>
    <w:rsid w:val="00B82E06"/>
    <w:rsid w:val="00B83F5D"/>
    <w:rsid w:val="00B949D7"/>
    <w:rsid w:val="00B96C9A"/>
    <w:rsid w:val="00BC12A2"/>
    <w:rsid w:val="00BD090E"/>
    <w:rsid w:val="00BE12D5"/>
    <w:rsid w:val="00BE546E"/>
    <w:rsid w:val="00BF410E"/>
    <w:rsid w:val="00BF6BB9"/>
    <w:rsid w:val="00BF6ED8"/>
    <w:rsid w:val="00C04530"/>
    <w:rsid w:val="00C07D10"/>
    <w:rsid w:val="00C24663"/>
    <w:rsid w:val="00C26568"/>
    <w:rsid w:val="00C70A1E"/>
    <w:rsid w:val="00C8229F"/>
    <w:rsid w:val="00CB09C3"/>
    <w:rsid w:val="00CB372D"/>
    <w:rsid w:val="00CD331A"/>
    <w:rsid w:val="00CF0624"/>
    <w:rsid w:val="00D30265"/>
    <w:rsid w:val="00D33678"/>
    <w:rsid w:val="00D60AE0"/>
    <w:rsid w:val="00D76138"/>
    <w:rsid w:val="00D769A1"/>
    <w:rsid w:val="00DC2DF7"/>
    <w:rsid w:val="00DC5B4D"/>
    <w:rsid w:val="00DF0849"/>
    <w:rsid w:val="00DF241C"/>
    <w:rsid w:val="00DF6118"/>
    <w:rsid w:val="00E0359F"/>
    <w:rsid w:val="00E06A90"/>
    <w:rsid w:val="00E27E45"/>
    <w:rsid w:val="00E33111"/>
    <w:rsid w:val="00E64EA6"/>
    <w:rsid w:val="00E87057"/>
    <w:rsid w:val="00E87CF9"/>
    <w:rsid w:val="00E91E7B"/>
    <w:rsid w:val="00EA5F26"/>
    <w:rsid w:val="00EC2866"/>
    <w:rsid w:val="00ED21A5"/>
    <w:rsid w:val="00ED67B6"/>
    <w:rsid w:val="00EF724A"/>
    <w:rsid w:val="00EF74E8"/>
    <w:rsid w:val="00F0450A"/>
    <w:rsid w:val="00F06E08"/>
    <w:rsid w:val="00F07DE6"/>
    <w:rsid w:val="00F431D9"/>
    <w:rsid w:val="00F61374"/>
    <w:rsid w:val="00F7471D"/>
    <w:rsid w:val="00F8404F"/>
    <w:rsid w:val="00F87CD1"/>
    <w:rsid w:val="00FA7095"/>
    <w:rsid w:val="00FB01C2"/>
    <w:rsid w:val="00FB5B44"/>
    <w:rsid w:val="00FC4218"/>
    <w:rsid w:val="00FD2709"/>
    <w:rsid w:val="00FE3975"/>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D37B"/>
  <w15:chartTrackingRefBased/>
  <w15:docId w15:val="{B678E6AC-0C1A-0143-8A2C-B9075156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5CFE"/>
    <w:pPr>
      <w:spacing w:before="100" w:beforeAutospacing="1" w:after="100" w:afterAutospacing="1"/>
    </w:pPr>
    <w:rPr>
      <w:rFonts w:ascii="Times New Roman" w:eastAsia="Times New Roman" w:hAnsi="Times New Roman" w:cs="Times New Roman"/>
      <w:lang w:eastAsia="en-GB"/>
    </w:rPr>
  </w:style>
  <w:style w:type="character" w:customStyle="1" w:styleId="sc">
    <w:name w:val="sc"/>
    <w:basedOn w:val="DefaultParagraphFont"/>
    <w:rsid w:val="005F5CFE"/>
  </w:style>
  <w:style w:type="paragraph" w:styleId="FootnoteText">
    <w:name w:val="footnote text"/>
    <w:basedOn w:val="Normal"/>
    <w:link w:val="FootnoteTextChar"/>
    <w:uiPriority w:val="99"/>
    <w:unhideWhenUsed/>
    <w:rsid w:val="007D4F25"/>
    <w:rPr>
      <w:sz w:val="20"/>
      <w:szCs w:val="20"/>
      <w:lang w:bidi="ar-SA"/>
    </w:rPr>
  </w:style>
  <w:style w:type="character" w:customStyle="1" w:styleId="FootnoteTextChar">
    <w:name w:val="Footnote Text Char"/>
    <w:basedOn w:val="DefaultParagraphFont"/>
    <w:link w:val="FootnoteText"/>
    <w:uiPriority w:val="99"/>
    <w:rsid w:val="007D4F25"/>
    <w:rPr>
      <w:sz w:val="20"/>
      <w:szCs w:val="20"/>
      <w:lang w:bidi="ar-SA"/>
    </w:rPr>
  </w:style>
  <w:style w:type="character" w:styleId="FootnoteReference">
    <w:name w:val="footnote reference"/>
    <w:basedOn w:val="DefaultParagraphFont"/>
    <w:uiPriority w:val="99"/>
    <w:semiHidden/>
    <w:unhideWhenUsed/>
    <w:rsid w:val="007D4F25"/>
    <w:rPr>
      <w:vertAlign w:val="superscript"/>
    </w:rPr>
  </w:style>
  <w:style w:type="paragraph" w:styleId="ListParagraph">
    <w:name w:val="List Paragraph"/>
    <w:basedOn w:val="Normal"/>
    <w:uiPriority w:val="34"/>
    <w:qFormat/>
    <w:rsid w:val="007D4F25"/>
    <w:pPr>
      <w:ind w:left="720"/>
      <w:contextualSpacing/>
    </w:pPr>
  </w:style>
  <w:style w:type="character" w:styleId="CommentReference">
    <w:name w:val="annotation reference"/>
    <w:basedOn w:val="DefaultParagraphFont"/>
    <w:uiPriority w:val="99"/>
    <w:semiHidden/>
    <w:unhideWhenUsed/>
    <w:rsid w:val="007D4F25"/>
    <w:rPr>
      <w:sz w:val="16"/>
      <w:szCs w:val="16"/>
    </w:rPr>
  </w:style>
  <w:style w:type="paragraph" w:styleId="CommentText">
    <w:name w:val="annotation text"/>
    <w:basedOn w:val="Normal"/>
    <w:link w:val="CommentTextChar"/>
    <w:uiPriority w:val="99"/>
    <w:semiHidden/>
    <w:unhideWhenUsed/>
    <w:rsid w:val="007D4F25"/>
    <w:rPr>
      <w:sz w:val="20"/>
      <w:szCs w:val="20"/>
    </w:rPr>
  </w:style>
  <w:style w:type="character" w:customStyle="1" w:styleId="CommentTextChar">
    <w:name w:val="Comment Text Char"/>
    <w:basedOn w:val="DefaultParagraphFont"/>
    <w:link w:val="CommentText"/>
    <w:uiPriority w:val="99"/>
    <w:semiHidden/>
    <w:rsid w:val="007D4F25"/>
    <w:rPr>
      <w:sz w:val="20"/>
      <w:szCs w:val="20"/>
    </w:rPr>
  </w:style>
  <w:style w:type="paragraph" w:styleId="CommentSubject">
    <w:name w:val="annotation subject"/>
    <w:basedOn w:val="CommentText"/>
    <w:next w:val="CommentText"/>
    <w:link w:val="CommentSubjectChar"/>
    <w:uiPriority w:val="99"/>
    <w:semiHidden/>
    <w:unhideWhenUsed/>
    <w:rsid w:val="007D4F25"/>
    <w:rPr>
      <w:b/>
      <w:bCs/>
    </w:rPr>
  </w:style>
  <w:style w:type="character" w:customStyle="1" w:styleId="CommentSubjectChar">
    <w:name w:val="Comment Subject Char"/>
    <w:basedOn w:val="CommentTextChar"/>
    <w:link w:val="CommentSubject"/>
    <w:uiPriority w:val="99"/>
    <w:semiHidden/>
    <w:rsid w:val="007D4F25"/>
    <w:rPr>
      <w:b/>
      <w:bCs/>
      <w:sz w:val="20"/>
      <w:szCs w:val="20"/>
    </w:rPr>
  </w:style>
  <w:style w:type="paragraph" w:styleId="Header">
    <w:name w:val="header"/>
    <w:basedOn w:val="Normal"/>
    <w:link w:val="HeaderChar"/>
    <w:uiPriority w:val="99"/>
    <w:unhideWhenUsed/>
    <w:rsid w:val="00994255"/>
    <w:pPr>
      <w:tabs>
        <w:tab w:val="center" w:pos="4513"/>
        <w:tab w:val="right" w:pos="9026"/>
      </w:tabs>
    </w:pPr>
  </w:style>
  <w:style w:type="character" w:customStyle="1" w:styleId="HeaderChar">
    <w:name w:val="Header Char"/>
    <w:basedOn w:val="DefaultParagraphFont"/>
    <w:link w:val="Header"/>
    <w:uiPriority w:val="99"/>
    <w:rsid w:val="00994255"/>
  </w:style>
  <w:style w:type="paragraph" w:styleId="Footer">
    <w:name w:val="footer"/>
    <w:basedOn w:val="Normal"/>
    <w:link w:val="FooterChar"/>
    <w:uiPriority w:val="99"/>
    <w:unhideWhenUsed/>
    <w:rsid w:val="00994255"/>
    <w:pPr>
      <w:tabs>
        <w:tab w:val="center" w:pos="4513"/>
        <w:tab w:val="right" w:pos="9026"/>
      </w:tabs>
    </w:pPr>
  </w:style>
  <w:style w:type="character" w:customStyle="1" w:styleId="FooterChar">
    <w:name w:val="Footer Char"/>
    <w:basedOn w:val="DefaultParagraphFont"/>
    <w:link w:val="Footer"/>
    <w:uiPriority w:val="99"/>
    <w:rsid w:val="0099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8904">
      <w:bodyDiv w:val="1"/>
      <w:marLeft w:val="0"/>
      <w:marRight w:val="0"/>
      <w:marTop w:val="0"/>
      <w:marBottom w:val="0"/>
      <w:divBdr>
        <w:top w:val="none" w:sz="0" w:space="0" w:color="auto"/>
        <w:left w:val="none" w:sz="0" w:space="0" w:color="auto"/>
        <w:bottom w:val="none" w:sz="0" w:space="0" w:color="auto"/>
        <w:right w:val="none" w:sz="0" w:space="0" w:color="auto"/>
      </w:divBdr>
    </w:div>
    <w:div w:id="110064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untingourselves.nz/wp-content/uploads/2019/09/Counting-Ourselv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Rae</dc:creator>
  <cp:keywords/>
  <dc:description/>
  <cp:lastModifiedBy>Hamish Galloway</cp:lastModifiedBy>
  <cp:revision>3</cp:revision>
  <dcterms:created xsi:type="dcterms:W3CDTF">2022-09-21T22:41:00Z</dcterms:created>
  <dcterms:modified xsi:type="dcterms:W3CDTF">2023-07-25T02:00:00Z</dcterms:modified>
</cp:coreProperties>
</file>