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8855" w14:textId="5920C531" w:rsidR="00CC504A" w:rsidRPr="002F7E65" w:rsidRDefault="00B50EEC" w:rsidP="00CC504A">
      <w:pPr>
        <w:pStyle w:val="04xlpa"/>
        <w:tabs>
          <w:tab w:val="left" w:pos="284"/>
        </w:tabs>
        <w:spacing w:before="0" w:beforeAutospacing="0" w:after="0" w:afterAutospacing="0"/>
        <w:ind w:left="-284" w:right="-613"/>
        <w:jc w:val="center"/>
        <w:rPr>
          <w:rFonts w:ascii="Abadi" w:hAnsi="Abadi"/>
          <w:b/>
          <w:bCs/>
          <w:sz w:val="48"/>
          <w:szCs w:val="48"/>
          <w:lang w:val="en-GB"/>
        </w:rPr>
      </w:pPr>
      <w:r w:rsidRPr="005B1111">
        <w:rPr>
          <w:rFonts w:ascii="Abadi" w:hAnsi="Abadi"/>
          <w:b/>
          <w:bCs/>
          <w:noProof/>
          <w:sz w:val="48"/>
          <w:szCs w:val="48"/>
          <w:lang w:val="en-GB"/>
        </w:rPr>
        <w:drawing>
          <wp:anchor distT="0" distB="0" distL="114300" distR="114300" simplePos="0" relativeHeight="251659264" behindDoc="1" locked="0" layoutInCell="1" allowOverlap="1" wp14:anchorId="6F799ABE" wp14:editId="290B4FE1">
            <wp:simplePos x="0" y="0"/>
            <wp:positionH relativeFrom="column">
              <wp:posOffset>-742950</wp:posOffset>
            </wp:positionH>
            <wp:positionV relativeFrom="paragraph">
              <wp:posOffset>-628650</wp:posOffset>
            </wp:positionV>
            <wp:extent cx="4114556" cy="8799195"/>
            <wp:effectExtent l="0" t="0" r="0" b="0"/>
            <wp:wrapNone/>
            <wp:docPr id="21" name="Picture 21" descr="A picture containing screenshot, red, carm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screenshot, red, carmine, de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4114556" cy="8799195"/>
                    </a:xfrm>
                    <a:prstGeom prst="rect">
                      <a:avLst/>
                    </a:prstGeom>
                  </pic:spPr>
                </pic:pic>
              </a:graphicData>
            </a:graphic>
            <wp14:sizeRelH relativeFrom="page">
              <wp14:pctWidth>0</wp14:pctWidth>
            </wp14:sizeRelH>
            <wp14:sizeRelV relativeFrom="page">
              <wp14:pctHeight>0</wp14:pctHeight>
            </wp14:sizeRelV>
          </wp:anchor>
        </w:drawing>
      </w:r>
      <w:r w:rsidR="00CC504A">
        <w:rPr>
          <w:rFonts w:ascii="Abadi" w:hAnsi="Abadi"/>
          <w:b/>
          <w:bCs/>
          <w:sz w:val="48"/>
          <w:szCs w:val="48"/>
          <w:lang w:val="en-GB"/>
        </w:rPr>
        <w:t>FINANCIAL STATISTICS</w:t>
      </w:r>
    </w:p>
    <w:p w14:paraId="1EF70264" w14:textId="77777777" w:rsidR="00CC504A" w:rsidRDefault="00CC504A" w:rsidP="00CC504A">
      <w:pPr>
        <w:tabs>
          <w:tab w:val="left" w:pos="284"/>
        </w:tabs>
        <w:spacing w:after="200"/>
        <w:ind w:left="-284" w:right="-613"/>
        <w:jc w:val="center"/>
        <w:rPr>
          <w:rFonts w:ascii="Abadi" w:hAnsi="Abadi"/>
          <w:b/>
          <w:bCs/>
          <w:sz w:val="28"/>
          <w:szCs w:val="28"/>
        </w:rPr>
      </w:pPr>
      <w:r w:rsidRPr="00A844D9">
        <w:rPr>
          <w:rFonts w:ascii="Abadi" w:hAnsi="Abadi"/>
          <w:sz w:val="28"/>
          <w:szCs w:val="24"/>
          <w:u w:val="single"/>
        </w:rPr>
        <w:t>Guidelines to completing the</w:t>
      </w:r>
      <w:r w:rsidRPr="00A844D9">
        <w:rPr>
          <w:rFonts w:ascii="Abadi" w:hAnsi="Abadi"/>
          <w:b/>
          <w:bCs/>
          <w:sz w:val="28"/>
          <w:szCs w:val="24"/>
          <w:u w:val="single"/>
        </w:rPr>
        <w:t xml:space="preserve"> Financial Statistics</w:t>
      </w:r>
      <w:r w:rsidRPr="00A844D9">
        <w:rPr>
          <w:rFonts w:ascii="Abadi" w:hAnsi="Abadi"/>
          <w:sz w:val="28"/>
          <w:szCs w:val="24"/>
          <w:u w:val="single"/>
        </w:rPr>
        <w:t xml:space="preserve"> form</w:t>
      </w:r>
      <w:r w:rsidRPr="00A844D9">
        <w:rPr>
          <w:rFonts w:ascii="Abadi" w:hAnsi="Abadi"/>
          <w:b/>
          <w:bCs/>
          <w:sz w:val="36"/>
          <w:szCs w:val="36"/>
          <w:u w:val="single"/>
        </w:rPr>
        <w:br/>
      </w:r>
    </w:p>
    <w:p w14:paraId="0523842F"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Offerings and Donations</w:t>
      </w:r>
    </w:p>
    <w:p w14:paraId="3E92A7FC" w14:textId="77777777" w:rsidR="00CC504A" w:rsidRPr="008154B0" w:rsidRDefault="00CC504A" w:rsidP="00CC504A">
      <w:pPr>
        <w:pStyle w:val="BodyText"/>
        <w:tabs>
          <w:tab w:val="left" w:pos="284"/>
        </w:tabs>
        <w:spacing w:after="200"/>
        <w:ind w:left="-284" w:right="-613"/>
        <w:jc w:val="both"/>
        <w:rPr>
          <w:rFonts w:ascii="Calibri" w:hAnsi="Calibri" w:cs="Arial"/>
          <w:szCs w:val="24"/>
        </w:rPr>
      </w:pPr>
      <w:r w:rsidRPr="008154B0">
        <w:rPr>
          <w:rFonts w:ascii="Calibri" w:hAnsi="Calibri" w:cs="Arial"/>
          <w:szCs w:val="24"/>
        </w:rPr>
        <w:t>All regular giving for the general purpose of the church</w:t>
      </w:r>
      <w:r>
        <w:rPr>
          <w:rFonts w:ascii="Calibri" w:hAnsi="Calibri" w:cs="Arial"/>
          <w:szCs w:val="24"/>
        </w:rPr>
        <w:t>, including</w:t>
      </w:r>
      <w:r w:rsidRPr="008154B0">
        <w:rPr>
          <w:rFonts w:ascii="Calibri" w:hAnsi="Calibri" w:cs="Arial"/>
          <w:szCs w:val="24"/>
        </w:rPr>
        <w:t xml:space="preserve"> envelope giving, </w:t>
      </w:r>
      <w:r>
        <w:rPr>
          <w:rFonts w:ascii="Calibri" w:hAnsi="Calibri" w:cs="Arial"/>
          <w:szCs w:val="24"/>
        </w:rPr>
        <w:t xml:space="preserve">general </w:t>
      </w:r>
      <w:r w:rsidRPr="008154B0">
        <w:rPr>
          <w:rFonts w:ascii="Calibri" w:hAnsi="Calibri" w:cs="Arial"/>
          <w:szCs w:val="24"/>
        </w:rPr>
        <w:t>donations and special appeals for the purpose of meeting church operational expenses.</w:t>
      </w:r>
    </w:p>
    <w:p w14:paraId="1B434F22"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 xml:space="preserve">Charitable appeals </w:t>
      </w:r>
    </w:p>
    <w:p w14:paraId="003F8400"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 xml:space="preserve">Money specifically raised or received for charitable appeals beyond the parish, not for church operations. </w:t>
      </w:r>
    </w:p>
    <w:p w14:paraId="1FB7B3C4"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Funds received for Mission</w:t>
      </w:r>
    </w:p>
    <w:p w14:paraId="65782FC8" w14:textId="77777777" w:rsidR="00CC504A"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Grants and donations received specifically for </w:t>
      </w:r>
      <w:r>
        <w:rPr>
          <w:rFonts w:ascii="Calibri" w:hAnsi="Calibri" w:cs="Arial"/>
          <w:szCs w:val="24"/>
        </w:rPr>
        <w:t xml:space="preserve">local and overseas </w:t>
      </w:r>
      <w:r w:rsidRPr="00875E90">
        <w:rPr>
          <w:rFonts w:ascii="Calibri" w:hAnsi="Calibri" w:cs="Arial"/>
          <w:szCs w:val="24"/>
        </w:rPr>
        <w:t>mission purposes</w:t>
      </w:r>
      <w:r>
        <w:rPr>
          <w:rFonts w:ascii="Calibri" w:hAnsi="Calibri" w:cs="Arial"/>
          <w:szCs w:val="24"/>
        </w:rPr>
        <w:t>.</w:t>
      </w:r>
    </w:p>
    <w:p w14:paraId="4ECE021E"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Specific Funds received for capital works</w:t>
      </w:r>
    </w:p>
    <w:p w14:paraId="50341968" w14:textId="77777777" w:rsidR="00CC504A" w:rsidRDefault="00CC504A" w:rsidP="00CC504A">
      <w:pPr>
        <w:pStyle w:val="BodyText"/>
        <w:tabs>
          <w:tab w:val="left" w:pos="284"/>
        </w:tabs>
        <w:ind w:left="-284" w:right="-613"/>
        <w:jc w:val="both"/>
        <w:rPr>
          <w:rFonts w:ascii="Calibri" w:hAnsi="Calibri" w:cs="Arial"/>
          <w:szCs w:val="24"/>
        </w:rPr>
      </w:pPr>
      <w:r>
        <w:rPr>
          <w:rFonts w:ascii="Calibri" w:hAnsi="Calibri" w:cs="Arial"/>
          <w:szCs w:val="24"/>
        </w:rPr>
        <w:t xml:space="preserve">Money received for specific presbytery approved building projects, including the purchase or construction of a building, or the refurbishment or major maintenance of a building used for parish purposes. </w:t>
      </w:r>
    </w:p>
    <w:p w14:paraId="79BF82D2" w14:textId="77777777" w:rsidR="00CC504A" w:rsidRDefault="00CC504A" w:rsidP="00CC504A">
      <w:pPr>
        <w:pStyle w:val="BodyText"/>
        <w:tabs>
          <w:tab w:val="left" w:pos="284"/>
        </w:tabs>
        <w:ind w:left="-284" w:right="-613"/>
        <w:jc w:val="both"/>
        <w:rPr>
          <w:rFonts w:ascii="Calibri" w:hAnsi="Calibri" w:cs="Arial"/>
          <w:szCs w:val="24"/>
        </w:rPr>
      </w:pPr>
      <w:r>
        <w:rPr>
          <w:rFonts w:ascii="Calibri" w:hAnsi="Calibri" w:cs="Arial"/>
          <w:szCs w:val="24"/>
        </w:rPr>
        <w:t>The parish is to have a presbytery recommendation of the building project to the Church Property Trustees (CPT) and CPT approval prior to the receipt of funds for the building project. Funds received for the project should be separately identified at collection and properly accounted for. Proposals which involve expenditure of more than $50,000 require presbytery approval.</w:t>
      </w:r>
    </w:p>
    <w:p w14:paraId="430A9C8A" w14:textId="4D443476"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If the above criteria are met then all funds that are raised will be eligible whether in reasonable anticipation of construction, to meet direct project costs, or to repay a loan that funded the building.</w:t>
      </w:r>
    </w:p>
    <w:p w14:paraId="0924237E" w14:textId="17D678ED" w:rsidR="00CC504A" w:rsidRDefault="00CC504A" w:rsidP="00CC504A">
      <w:pPr>
        <w:pStyle w:val="BodyText"/>
        <w:tabs>
          <w:tab w:val="left" w:pos="284"/>
        </w:tabs>
        <w:spacing w:after="200"/>
        <w:ind w:left="-284" w:right="-613"/>
        <w:jc w:val="both"/>
        <w:rPr>
          <w:rFonts w:ascii="Calibri" w:hAnsi="Calibri" w:cs="Arial"/>
          <w:szCs w:val="24"/>
        </w:rPr>
      </w:pPr>
      <w:r w:rsidRPr="003D4E6E">
        <w:rPr>
          <w:rFonts w:ascii="Calibri" w:hAnsi="Calibri" w:cs="Arial"/>
          <w:b/>
          <w:bCs/>
          <w:i/>
          <w:iCs/>
          <w:szCs w:val="24"/>
        </w:rPr>
        <w:t>Note</w:t>
      </w:r>
      <w:r>
        <w:rPr>
          <w:rFonts w:ascii="Calibri" w:hAnsi="Calibri" w:cs="Arial"/>
          <w:szCs w:val="24"/>
        </w:rPr>
        <w:t>: if capital funds for building works are invested, the interest income earned on those funds is assessable income.</w:t>
      </w:r>
    </w:p>
    <w:p w14:paraId="4A724595" w14:textId="140CF654"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Other grants received</w:t>
      </w:r>
    </w:p>
    <w:p w14:paraId="1CE4306F" w14:textId="0523D6FF" w:rsidR="00CC504A" w:rsidRPr="00875E90" w:rsidRDefault="00797363" w:rsidP="00CC504A">
      <w:pPr>
        <w:pStyle w:val="BodyText"/>
        <w:tabs>
          <w:tab w:val="left" w:pos="284"/>
        </w:tabs>
        <w:spacing w:after="200"/>
        <w:ind w:left="-284" w:right="-613"/>
        <w:jc w:val="both"/>
        <w:rPr>
          <w:rFonts w:ascii="Calibri" w:hAnsi="Calibri" w:cs="Arial"/>
          <w:szCs w:val="24"/>
        </w:rPr>
      </w:pPr>
      <w:r>
        <w:rPr>
          <w:rFonts w:ascii="Calibri" w:hAnsi="Calibri" w:cs="Arial"/>
          <w:noProof/>
          <w:szCs w:val="24"/>
        </w:rPr>
        <w:drawing>
          <wp:anchor distT="0" distB="0" distL="114300" distR="114300" simplePos="0" relativeHeight="251663360" behindDoc="1" locked="0" layoutInCell="1" allowOverlap="1" wp14:anchorId="6B3AA831" wp14:editId="4AFB9B73">
            <wp:simplePos x="0" y="0"/>
            <wp:positionH relativeFrom="page">
              <wp:align>right</wp:align>
            </wp:positionH>
            <wp:positionV relativeFrom="paragraph">
              <wp:posOffset>304800</wp:posOffset>
            </wp:positionV>
            <wp:extent cx="3223501" cy="4855210"/>
            <wp:effectExtent l="0" t="0" r="0" b="2540"/>
            <wp:wrapNone/>
            <wp:docPr id="1" name="Picture 1" descr="A picture containing text, accessory,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accessory, umbrella&#10;&#10;Description automatically generated"/>
                    <pic:cNvPicPr/>
                  </pic:nvPicPr>
                  <pic:blipFill rotWithShape="1">
                    <a:blip r:embed="rId9" cstate="print">
                      <a:extLst>
                        <a:ext uri="{28A0092B-C50C-407E-A947-70E740481C1C}">
                          <a14:useLocalDpi xmlns:a14="http://schemas.microsoft.com/office/drawing/2010/main" val="0"/>
                        </a:ext>
                      </a:extLst>
                    </a:blip>
                    <a:srcRect l="43154" b="43275"/>
                    <a:stretch/>
                  </pic:blipFill>
                  <pic:spPr bwMode="auto">
                    <a:xfrm rot="10800000" flipH="1">
                      <a:off x="0" y="0"/>
                      <a:ext cx="3223501" cy="4855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04A" w:rsidRPr="00875E90">
        <w:rPr>
          <w:rFonts w:ascii="Calibri" w:hAnsi="Calibri" w:cs="Arial"/>
          <w:szCs w:val="24"/>
        </w:rPr>
        <w:t>Any grants recei</w:t>
      </w:r>
      <w:r w:rsidR="00CC504A">
        <w:rPr>
          <w:rFonts w:ascii="Calibri" w:hAnsi="Calibri" w:cs="Arial"/>
          <w:szCs w:val="24"/>
        </w:rPr>
        <w:t>ved for the purpose of funding c</w:t>
      </w:r>
      <w:r w:rsidR="00CC504A" w:rsidRPr="00875E90">
        <w:rPr>
          <w:rFonts w:ascii="Calibri" w:hAnsi="Calibri" w:cs="Arial"/>
          <w:szCs w:val="24"/>
        </w:rPr>
        <w:t>hurch operations</w:t>
      </w:r>
      <w:r w:rsidR="00CC504A">
        <w:rPr>
          <w:rFonts w:ascii="Calibri" w:hAnsi="Calibri" w:cs="Arial"/>
          <w:szCs w:val="24"/>
        </w:rPr>
        <w:t>. I</w:t>
      </w:r>
      <w:r w:rsidR="00CC504A" w:rsidRPr="00875E90">
        <w:rPr>
          <w:rFonts w:ascii="Calibri" w:hAnsi="Calibri" w:cs="Arial"/>
          <w:szCs w:val="24"/>
        </w:rPr>
        <w:t>ncludes Pres</w:t>
      </w:r>
      <w:r w:rsidR="00CC504A">
        <w:rPr>
          <w:rFonts w:ascii="Calibri" w:hAnsi="Calibri" w:cs="Arial"/>
          <w:szCs w:val="24"/>
        </w:rPr>
        <w:t>s Go</w:t>
      </w:r>
      <w:r w:rsidR="00CC504A" w:rsidRPr="00875E90">
        <w:rPr>
          <w:rFonts w:ascii="Calibri" w:hAnsi="Calibri" w:cs="Arial"/>
          <w:szCs w:val="24"/>
        </w:rPr>
        <w:t xml:space="preserve"> or Presbyterian Foundation grants</w:t>
      </w:r>
      <w:r w:rsidR="00CC504A">
        <w:rPr>
          <w:rFonts w:ascii="Calibri" w:hAnsi="Calibri" w:cs="Arial"/>
          <w:szCs w:val="24"/>
        </w:rPr>
        <w:t xml:space="preserve">. Does </w:t>
      </w:r>
      <w:r w:rsidR="00CC504A" w:rsidRPr="00875E90">
        <w:rPr>
          <w:rFonts w:ascii="Calibri" w:hAnsi="Calibri" w:cs="Arial"/>
          <w:szCs w:val="24"/>
        </w:rPr>
        <w:t xml:space="preserve">not </w:t>
      </w:r>
      <w:r w:rsidR="00CC504A">
        <w:rPr>
          <w:rFonts w:ascii="Calibri" w:hAnsi="Calibri" w:cs="Arial"/>
          <w:szCs w:val="24"/>
        </w:rPr>
        <w:t xml:space="preserve">include </w:t>
      </w:r>
      <w:r w:rsidR="00CC504A" w:rsidRPr="00875E90">
        <w:rPr>
          <w:rFonts w:ascii="Calibri" w:hAnsi="Calibri" w:cs="Arial"/>
          <w:szCs w:val="24"/>
        </w:rPr>
        <w:t>donations</w:t>
      </w:r>
      <w:r w:rsidR="00CC504A">
        <w:rPr>
          <w:rFonts w:ascii="Calibri" w:hAnsi="Calibri" w:cs="Arial"/>
          <w:szCs w:val="24"/>
        </w:rPr>
        <w:t xml:space="preserve"> received.</w:t>
      </w:r>
    </w:p>
    <w:p w14:paraId="7922DADA" w14:textId="33502EBE"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Wage Subsidy received</w:t>
      </w:r>
    </w:p>
    <w:p w14:paraId="4932D6CE" w14:textId="77777777" w:rsidR="00CC504A" w:rsidRPr="006354B0" w:rsidRDefault="00CC504A" w:rsidP="00CC504A">
      <w:pPr>
        <w:pStyle w:val="BodyText"/>
        <w:tabs>
          <w:tab w:val="left" w:pos="284"/>
        </w:tabs>
        <w:spacing w:after="60"/>
        <w:ind w:left="-284" w:right="-613"/>
        <w:jc w:val="both"/>
        <w:rPr>
          <w:rFonts w:ascii="Calibri" w:hAnsi="Calibri" w:cs="Arial"/>
          <w:bCs/>
          <w:szCs w:val="24"/>
        </w:rPr>
      </w:pPr>
      <w:r>
        <w:rPr>
          <w:rFonts w:ascii="Calibri" w:hAnsi="Calibri" w:cs="Arial"/>
          <w:bCs/>
          <w:szCs w:val="24"/>
        </w:rPr>
        <w:t>Any funds received as part of the Government’s Covid-19 wage subsidy scheme.</w:t>
      </w:r>
    </w:p>
    <w:p w14:paraId="3E676F2F" w14:textId="3BC0DC68"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Legacies and bequests</w:t>
      </w:r>
    </w:p>
    <w:p w14:paraId="21212974" w14:textId="1D0B5D1F" w:rsidR="00CC504A"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All legacies and bequests, general or specific, from parish</w:t>
      </w:r>
      <w:r>
        <w:rPr>
          <w:rFonts w:ascii="Calibri" w:hAnsi="Calibri" w:cs="Arial"/>
          <w:szCs w:val="24"/>
        </w:rPr>
        <w:t>i</w:t>
      </w:r>
      <w:r w:rsidRPr="00875E90">
        <w:rPr>
          <w:rFonts w:ascii="Calibri" w:hAnsi="Calibri" w:cs="Arial"/>
          <w:szCs w:val="24"/>
        </w:rPr>
        <w:t xml:space="preserve">oners and others. </w:t>
      </w:r>
    </w:p>
    <w:p w14:paraId="104016A5" w14:textId="28B71B62"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Realised capital gain on sale of property</w:t>
      </w:r>
    </w:p>
    <w:p w14:paraId="05B160B5" w14:textId="576247B8" w:rsidR="00CC504A" w:rsidRDefault="00CC504A" w:rsidP="00CC504A">
      <w:pPr>
        <w:pStyle w:val="BodyText"/>
        <w:tabs>
          <w:tab w:val="left" w:pos="284"/>
        </w:tabs>
        <w:spacing w:after="0" w:line="360" w:lineRule="auto"/>
        <w:ind w:left="-284" w:right="-613"/>
        <w:jc w:val="both"/>
        <w:rPr>
          <w:rFonts w:ascii="Calibri" w:hAnsi="Calibri" w:cs="Arial"/>
          <w:szCs w:val="24"/>
        </w:rPr>
      </w:pPr>
      <w:r>
        <w:rPr>
          <w:rFonts w:ascii="Calibri" w:hAnsi="Calibri" w:cs="Arial"/>
          <w:szCs w:val="24"/>
        </w:rPr>
        <w:t>Any gain received on the sale of church property.</w:t>
      </w:r>
    </w:p>
    <w:p w14:paraId="00D7AC0A" w14:textId="47ED3BEE"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Property income</w:t>
      </w:r>
    </w:p>
    <w:p w14:paraId="6CEFBC85" w14:textId="768D7D4A" w:rsidR="00CC504A" w:rsidRDefault="00CC504A" w:rsidP="00CC504A">
      <w:pPr>
        <w:pStyle w:val="BodyText"/>
        <w:tabs>
          <w:tab w:val="left" w:pos="284"/>
        </w:tabs>
        <w:spacing w:after="60"/>
        <w:ind w:left="-284" w:right="-613"/>
        <w:jc w:val="both"/>
        <w:rPr>
          <w:rFonts w:ascii="Calibri" w:hAnsi="Calibri" w:cs="Arial"/>
          <w:szCs w:val="24"/>
        </w:rPr>
      </w:pPr>
      <w:r>
        <w:rPr>
          <w:rFonts w:ascii="Calibri" w:hAnsi="Calibri" w:cs="Arial"/>
          <w:szCs w:val="24"/>
        </w:rPr>
        <w:t>Total i</w:t>
      </w:r>
      <w:r w:rsidRPr="00875E90">
        <w:rPr>
          <w:rFonts w:ascii="Calibri" w:hAnsi="Calibri" w:cs="Arial"/>
          <w:szCs w:val="24"/>
        </w:rPr>
        <w:t>ncome received from the rental or hire</w:t>
      </w:r>
      <w:r>
        <w:rPr>
          <w:rFonts w:ascii="Calibri" w:hAnsi="Calibri" w:cs="Arial"/>
          <w:szCs w:val="24"/>
        </w:rPr>
        <w:t xml:space="preserve"> of </w:t>
      </w:r>
      <w:r w:rsidRPr="00875E90">
        <w:rPr>
          <w:rFonts w:ascii="Calibri" w:hAnsi="Calibri" w:cs="Arial"/>
          <w:szCs w:val="24"/>
        </w:rPr>
        <w:t>manse</w:t>
      </w:r>
      <w:r>
        <w:rPr>
          <w:rFonts w:ascii="Calibri" w:hAnsi="Calibri" w:cs="Arial"/>
          <w:szCs w:val="24"/>
        </w:rPr>
        <w:t>s, c</w:t>
      </w:r>
      <w:r w:rsidRPr="00875E90">
        <w:rPr>
          <w:rFonts w:ascii="Calibri" w:hAnsi="Calibri" w:cs="Arial"/>
          <w:szCs w:val="24"/>
        </w:rPr>
        <w:t>hurch building</w:t>
      </w:r>
      <w:r>
        <w:rPr>
          <w:rFonts w:ascii="Calibri" w:hAnsi="Calibri" w:cs="Arial"/>
          <w:szCs w:val="24"/>
        </w:rPr>
        <w:t xml:space="preserve">s, and any properties held for the purpose of generating income (including revaluation of investment property). </w:t>
      </w:r>
    </w:p>
    <w:p w14:paraId="44201FB2" w14:textId="356880D9" w:rsidR="00CC504A" w:rsidRDefault="00CC504A" w:rsidP="00CC504A">
      <w:pPr>
        <w:pStyle w:val="BodyText"/>
        <w:tabs>
          <w:tab w:val="left" w:pos="284"/>
        </w:tabs>
        <w:spacing w:after="60"/>
        <w:ind w:left="-284" w:right="-613"/>
        <w:jc w:val="both"/>
        <w:rPr>
          <w:rFonts w:ascii="Calibri" w:hAnsi="Calibri" w:cs="Arial"/>
          <w:szCs w:val="24"/>
        </w:rPr>
      </w:pPr>
      <w:r>
        <w:rPr>
          <w:rFonts w:ascii="Calibri" w:hAnsi="Calibri" w:cs="Arial"/>
          <w:szCs w:val="24"/>
        </w:rPr>
        <w:t>Note: total property income should be recorded and should not be netted off against property costs. Property costs should be separately disclosed under “property expenses” (see 17 below).</w:t>
      </w:r>
      <w:r w:rsidR="0049731C" w:rsidRPr="0049731C">
        <w:rPr>
          <w:rFonts w:ascii="Calibri" w:hAnsi="Calibri" w:cs="Arial"/>
          <w:noProof/>
          <w:szCs w:val="24"/>
        </w:rPr>
        <w:t xml:space="preserve"> </w:t>
      </w:r>
    </w:p>
    <w:p w14:paraId="1F6CCBE7"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lastRenderedPageBreak/>
        <w:t>Investment income</w:t>
      </w:r>
    </w:p>
    <w:p w14:paraId="2BD72766" w14:textId="77777777" w:rsidR="00CC504A"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Interest and dividends earned on cash, shares, term deposits and investments</w:t>
      </w:r>
      <w:r>
        <w:rPr>
          <w:rFonts w:ascii="Calibri" w:hAnsi="Calibri" w:cs="Arial"/>
          <w:szCs w:val="24"/>
        </w:rPr>
        <w:t>, including Presbyterian Investment Fund deposits.</w:t>
      </w:r>
    </w:p>
    <w:p w14:paraId="780F3CA8" w14:textId="77777777"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Note: if capital funds for building works are invested, the interest income earned on those funds should be reported here.</w:t>
      </w:r>
    </w:p>
    <w:p w14:paraId="7B96F99B"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Income from services and activities</w:t>
      </w:r>
    </w:p>
    <w:p w14:paraId="69F2A3D2"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I</w:t>
      </w:r>
      <w:r w:rsidRPr="00875E90">
        <w:rPr>
          <w:rFonts w:ascii="Calibri" w:hAnsi="Calibri" w:cs="Arial"/>
          <w:szCs w:val="24"/>
        </w:rPr>
        <w:t>ncome earned from activities such as opportunity shops and fairs, and income</w:t>
      </w:r>
      <w:r>
        <w:rPr>
          <w:rFonts w:ascii="Calibri" w:hAnsi="Calibri" w:cs="Arial"/>
          <w:szCs w:val="24"/>
        </w:rPr>
        <w:t>-</w:t>
      </w:r>
      <w:r w:rsidRPr="00875E90">
        <w:rPr>
          <w:rFonts w:ascii="Calibri" w:hAnsi="Calibri" w:cs="Arial"/>
          <w:szCs w:val="24"/>
        </w:rPr>
        <w:t>generating services such as weddings or funerals.</w:t>
      </w:r>
    </w:p>
    <w:p w14:paraId="1C839A84"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Sundry income</w:t>
      </w:r>
    </w:p>
    <w:p w14:paraId="7FCB6AA7" w14:textId="77777777" w:rsidR="00CC504A"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Any other income or sundry receipts as reported in the Statement of Financial Performance that </w:t>
      </w:r>
      <w:r>
        <w:rPr>
          <w:rFonts w:ascii="Calibri" w:hAnsi="Calibri" w:cs="Arial"/>
          <w:szCs w:val="24"/>
        </w:rPr>
        <w:t>is</w:t>
      </w:r>
      <w:r w:rsidRPr="00875E90">
        <w:rPr>
          <w:rFonts w:ascii="Calibri" w:hAnsi="Calibri" w:cs="Arial"/>
          <w:szCs w:val="24"/>
        </w:rPr>
        <w:t xml:space="preserve"> not recorded in other income categories. </w:t>
      </w:r>
    </w:p>
    <w:p w14:paraId="39C78B6B"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Ministers’ stipend and allowances</w:t>
      </w:r>
    </w:p>
    <w:p w14:paraId="373C605D"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Local and </w:t>
      </w:r>
      <w:r>
        <w:rPr>
          <w:rFonts w:ascii="Calibri" w:hAnsi="Calibri" w:cs="Arial"/>
          <w:szCs w:val="24"/>
        </w:rPr>
        <w:t>n</w:t>
      </w:r>
      <w:r w:rsidRPr="00875E90">
        <w:rPr>
          <w:rFonts w:ascii="Calibri" w:hAnsi="Calibri" w:cs="Arial"/>
          <w:szCs w:val="24"/>
        </w:rPr>
        <w:t>ational ordained ministers</w:t>
      </w:r>
      <w:r>
        <w:rPr>
          <w:rFonts w:ascii="Calibri" w:hAnsi="Calibri" w:cs="Arial"/>
          <w:szCs w:val="24"/>
        </w:rPr>
        <w:t>’</w:t>
      </w:r>
      <w:r w:rsidRPr="00875E90">
        <w:rPr>
          <w:rFonts w:ascii="Calibri" w:hAnsi="Calibri" w:cs="Arial"/>
          <w:szCs w:val="24"/>
        </w:rPr>
        <w:t xml:space="preserve"> costs including gross stipend, seniority, reimbursing and other allowances</w:t>
      </w:r>
      <w:r>
        <w:rPr>
          <w:rFonts w:ascii="Calibri" w:hAnsi="Calibri" w:cs="Arial"/>
          <w:szCs w:val="24"/>
        </w:rPr>
        <w:t xml:space="preserve"> (excluding housing allowance)</w:t>
      </w:r>
      <w:r w:rsidRPr="00875E90">
        <w:rPr>
          <w:rFonts w:ascii="Calibri" w:hAnsi="Calibri" w:cs="Arial"/>
          <w:szCs w:val="24"/>
        </w:rPr>
        <w:t>. For Presbyterian churches t</w:t>
      </w:r>
      <w:r>
        <w:rPr>
          <w:rFonts w:ascii="Calibri" w:hAnsi="Calibri" w:cs="Arial"/>
          <w:szCs w:val="24"/>
        </w:rPr>
        <w:t>his entry will include the c</w:t>
      </w:r>
      <w:r w:rsidRPr="00875E90">
        <w:rPr>
          <w:rFonts w:ascii="Calibri" w:hAnsi="Calibri" w:cs="Arial"/>
          <w:szCs w:val="24"/>
        </w:rPr>
        <w:t>hurch contribution to the Ministers</w:t>
      </w:r>
      <w:r>
        <w:rPr>
          <w:rFonts w:ascii="Calibri" w:hAnsi="Calibri" w:cs="Arial"/>
          <w:szCs w:val="24"/>
        </w:rPr>
        <w:t>’</w:t>
      </w:r>
      <w:r w:rsidRPr="00875E90">
        <w:rPr>
          <w:rFonts w:ascii="Calibri" w:hAnsi="Calibri" w:cs="Arial"/>
          <w:szCs w:val="24"/>
        </w:rPr>
        <w:t xml:space="preserve"> Beneficiary Fund.</w:t>
      </w:r>
    </w:p>
    <w:p w14:paraId="2249971E"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Ministers’ housing costs</w:t>
      </w:r>
    </w:p>
    <w:p w14:paraId="7C3730BD" w14:textId="77777777"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The gross amount of any housing allowance paid to a minister or rental expense paid to a third party and added to a minister’s stipend package.  This is recorded separately to other ministers’ allowances as it is deducted from assessable income for calculation of Assembly Assessment.</w:t>
      </w:r>
    </w:p>
    <w:p w14:paraId="6C55B081" w14:textId="61C131F1"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Other Ministry Costs</w:t>
      </w:r>
    </w:p>
    <w:p w14:paraId="2E6129CB" w14:textId="0D3B964B"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Any costs of ministry that are not paid to the minister in the form of stipend and allowances.  Include travel expenses (paid to a provider or by way of reimbursement) office or administration expenses incurred specifically by the minister (as opposed to the church office – refer note 16) and any employment costs (salary, allowance, and expenses) of non-ordained or supply ministry.</w:t>
      </w:r>
    </w:p>
    <w:p w14:paraId="608D1DFF"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Other staff costs and expenses</w:t>
      </w:r>
    </w:p>
    <w:p w14:paraId="20C4A3E5" w14:textId="20733FC2" w:rsidR="00CC504A" w:rsidRDefault="00CC504A" w:rsidP="00CC504A">
      <w:pPr>
        <w:pStyle w:val="BodyText"/>
        <w:tabs>
          <w:tab w:val="left" w:pos="284"/>
        </w:tabs>
        <w:spacing w:after="0"/>
        <w:ind w:left="-284" w:right="-613"/>
        <w:jc w:val="both"/>
        <w:rPr>
          <w:rFonts w:ascii="Calibri" w:hAnsi="Calibri" w:cs="Arial"/>
          <w:szCs w:val="24"/>
        </w:rPr>
      </w:pPr>
      <w:r>
        <w:rPr>
          <w:rFonts w:ascii="Calibri" w:hAnsi="Calibri" w:cs="Arial"/>
          <w:szCs w:val="24"/>
        </w:rPr>
        <w:t>Expenses relating to non-ministry or lay employees, including administration staff and child and youth workers.  Includes gross salaries, wages and allowances, staff training expenses and reimbursement of expenses, ACC, and church-funded pension expenses.  Excludes unpaid and volunteer expenses (refer note 17).</w:t>
      </w:r>
    </w:p>
    <w:p w14:paraId="32D03D04" w14:textId="77777777" w:rsidR="00CC504A" w:rsidRPr="00875E90" w:rsidRDefault="00CC504A" w:rsidP="00CC504A">
      <w:pPr>
        <w:pStyle w:val="BodyText"/>
        <w:tabs>
          <w:tab w:val="left" w:pos="284"/>
        </w:tabs>
        <w:spacing w:after="0"/>
        <w:ind w:left="-284" w:right="-613"/>
        <w:jc w:val="both"/>
        <w:rPr>
          <w:rFonts w:ascii="Calibri" w:hAnsi="Calibri" w:cs="Arial"/>
          <w:szCs w:val="24"/>
        </w:rPr>
      </w:pPr>
    </w:p>
    <w:p w14:paraId="79C19E76"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Property expenses</w:t>
      </w:r>
    </w:p>
    <w:p w14:paraId="13E9172C" w14:textId="77777777" w:rsidR="00CC504A"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Expenses relating to the maintenance and operation of </w:t>
      </w:r>
      <w:r>
        <w:rPr>
          <w:rFonts w:ascii="Calibri" w:hAnsi="Calibri" w:cs="Arial"/>
          <w:szCs w:val="24"/>
        </w:rPr>
        <w:t>c</w:t>
      </w:r>
      <w:r w:rsidRPr="00875E90">
        <w:rPr>
          <w:rFonts w:ascii="Calibri" w:hAnsi="Calibri" w:cs="Arial"/>
          <w:szCs w:val="24"/>
        </w:rPr>
        <w:t xml:space="preserve">hurch </w:t>
      </w:r>
      <w:r>
        <w:rPr>
          <w:rFonts w:ascii="Calibri" w:hAnsi="Calibri" w:cs="Arial"/>
          <w:szCs w:val="24"/>
        </w:rPr>
        <w:t>buildings and any properties held for the purpose of generating income, including</w:t>
      </w:r>
      <w:r w:rsidRPr="00875E90">
        <w:rPr>
          <w:rFonts w:ascii="Calibri" w:hAnsi="Calibri" w:cs="Arial"/>
          <w:szCs w:val="24"/>
        </w:rPr>
        <w:t xml:space="preserve"> repairs and maintenance, rates, and </w:t>
      </w:r>
      <w:r>
        <w:rPr>
          <w:rFonts w:ascii="Calibri" w:hAnsi="Calibri" w:cs="Arial"/>
          <w:szCs w:val="24"/>
        </w:rPr>
        <w:t>insurance premiums.  Excludes building purchase and improvement costs (which should be capitalised) and rental costs incurred on behalf of a minister.</w:t>
      </w:r>
    </w:p>
    <w:p w14:paraId="702AA1A9"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Administration and office expenses</w:t>
      </w:r>
    </w:p>
    <w:p w14:paraId="2E88D6D1" w14:textId="77777777"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O</w:t>
      </w:r>
      <w:r w:rsidRPr="00875E90">
        <w:rPr>
          <w:rFonts w:ascii="Calibri" w:hAnsi="Calibri" w:cs="Arial"/>
          <w:szCs w:val="24"/>
        </w:rPr>
        <w:t>ffice expenses, communications, computer costs, travel, depreciation, consultancy</w:t>
      </w:r>
      <w:r>
        <w:rPr>
          <w:rFonts w:ascii="Calibri" w:hAnsi="Calibri" w:cs="Arial"/>
          <w:szCs w:val="24"/>
        </w:rPr>
        <w:t>, Assembly Assessment and presbytery levies,</w:t>
      </w:r>
      <w:r w:rsidRPr="00875E90">
        <w:rPr>
          <w:rFonts w:ascii="Calibri" w:hAnsi="Calibri" w:cs="Arial"/>
          <w:szCs w:val="24"/>
        </w:rPr>
        <w:t xml:space="preserve"> and </w:t>
      </w:r>
      <w:r>
        <w:rPr>
          <w:rFonts w:ascii="Calibri" w:hAnsi="Calibri" w:cs="Arial"/>
          <w:szCs w:val="24"/>
        </w:rPr>
        <w:t xml:space="preserve">non-property related </w:t>
      </w:r>
      <w:r w:rsidRPr="00875E90">
        <w:rPr>
          <w:rFonts w:ascii="Calibri" w:hAnsi="Calibri" w:cs="Arial"/>
          <w:szCs w:val="24"/>
        </w:rPr>
        <w:t>insurance premiums</w:t>
      </w:r>
      <w:r>
        <w:rPr>
          <w:rFonts w:ascii="Calibri" w:hAnsi="Calibri" w:cs="Arial"/>
          <w:szCs w:val="24"/>
        </w:rPr>
        <w:t>.</w:t>
      </w:r>
    </w:p>
    <w:p w14:paraId="52A5E4AB" w14:textId="77777777" w:rsidR="00CC504A" w:rsidRDefault="00CC504A" w:rsidP="00CC504A">
      <w:pPr>
        <w:pStyle w:val="BodyText"/>
        <w:tabs>
          <w:tab w:val="left" w:pos="284"/>
        </w:tabs>
        <w:spacing w:after="200"/>
        <w:ind w:left="-284" w:right="-613"/>
        <w:jc w:val="both"/>
        <w:rPr>
          <w:rFonts w:ascii="Calibri" w:hAnsi="Calibri" w:cs="Arial"/>
          <w:szCs w:val="24"/>
        </w:rPr>
      </w:pPr>
    </w:p>
    <w:p w14:paraId="41425EAB" w14:textId="2030A190"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lastRenderedPageBreak/>
        <w:t>Local Mission</w:t>
      </w:r>
    </w:p>
    <w:p w14:paraId="2A36AB33" w14:textId="77777777" w:rsidR="00CC504A" w:rsidRDefault="00CC504A" w:rsidP="00CC504A">
      <w:pPr>
        <w:pStyle w:val="BodyText"/>
        <w:tabs>
          <w:tab w:val="left" w:pos="284"/>
        </w:tabs>
        <w:spacing w:after="200"/>
        <w:ind w:left="-284" w:right="-613"/>
        <w:jc w:val="both"/>
        <w:rPr>
          <w:rFonts w:ascii="Calibri" w:hAnsi="Calibri" w:cs="Arial"/>
          <w:szCs w:val="24"/>
        </w:rPr>
      </w:pPr>
      <w:r w:rsidRPr="00383B27">
        <w:rPr>
          <w:rFonts w:ascii="Calibri" w:hAnsi="Calibri" w:cs="Arial"/>
          <w:szCs w:val="24"/>
        </w:rPr>
        <w:t xml:space="preserve">All expenditure for mission </w:t>
      </w:r>
      <w:r>
        <w:rPr>
          <w:rFonts w:ascii="Calibri" w:hAnsi="Calibri" w:cs="Arial"/>
          <w:szCs w:val="24"/>
        </w:rPr>
        <w:t>with</w:t>
      </w:r>
      <w:r w:rsidRPr="00383B27">
        <w:rPr>
          <w:rFonts w:ascii="Calibri" w:hAnsi="Calibri" w:cs="Arial"/>
          <w:szCs w:val="24"/>
        </w:rPr>
        <w:t>in New Zealand</w:t>
      </w:r>
      <w:r>
        <w:rPr>
          <w:rFonts w:ascii="Calibri" w:hAnsi="Calibri" w:cs="Arial"/>
          <w:szCs w:val="24"/>
        </w:rPr>
        <w:t>, including</w:t>
      </w:r>
      <w:r w:rsidRPr="00383B27">
        <w:rPr>
          <w:rFonts w:ascii="Calibri" w:hAnsi="Calibri" w:cs="Arial"/>
          <w:szCs w:val="24"/>
        </w:rPr>
        <w:t xml:space="preserve"> disaster relief, </w:t>
      </w:r>
      <w:r>
        <w:rPr>
          <w:rFonts w:ascii="Calibri" w:hAnsi="Calibri" w:cs="Arial"/>
          <w:szCs w:val="24"/>
        </w:rPr>
        <w:t xml:space="preserve">local </w:t>
      </w:r>
      <w:r w:rsidRPr="00383B27">
        <w:rPr>
          <w:rFonts w:ascii="Calibri" w:hAnsi="Calibri" w:cs="Arial"/>
          <w:szCs w:val="24"/>
        </w:rPr>
        <w:t>mission projects and contributions and expenses excluding wages and salaries</w:t>
      </w:r>
      <w:r>
        <w:rPr>
          <w:rFonts w:ascii="Calibri" w:hAnsi="Calibri" w:cs="Arial"/>
          <w:szCs w:val="24"/>
        </w:rPr>
        <w:t xml:space="preserve"> (Refer note 16) paid to volunteer and unpaid mission workers including child and youth workers.  Local mission expense includes the on-payment of donations received for specific or general purpose New Zealand based mission projects, as well as grants paid from church funds.</w:t>
      </w:r>
    </w:p>
    <w:p w14:paraId="0E529EA5"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Overseas Mission</w:t>
      </w:r>
    </w:p>
    <w:p w14:paraId="129CCEA0" w14:textId="77777777" w:rsidR="00CC504A" w:rsidRDefault="00CC504A" w:rsidP="00CC504A">
      <w:pPr>
        <w:pStyle w:val="BodyText"/>
        <w:tabs>
          <w:tab w:val="left" w:pos="284"/>
        </w:tabs>
        <w:spacing w:after="200"/>
        <w:ind w:left="-284" w:right="-613"/>
        <w:jc w:val="both"/>
        <w:rPr>
          <w:rFonts w:ascii="Calibri" w:hAnsi="Calibri" w:cs="Arial"/>
          <w:szCs w:val="24"/>
        </w:rPr>
      </w:pPr>
      <w:r>
        <w:rPr>
          <w:rFonts w:ascii="Calibri" w:hAnsi="Calibri" w:cs="Arial"/>
          <w:szCs w:val="24"/>
        </w:rPr>
        <w:t>Grants, donations, and mission expenses paid to overseas agencies, workers, or projects, including the on-payment of donations received for the purpose of overseas mission.</w:t>
      </w:r>
    </w:p>
    <w:p w14:paraId="24AF89D2"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Sundry expenses</w:t>
      </w:r>
    </w:p>
    <w:p w14:paraId="7D4711E1"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Any other </w:t>
      </w:r>
      <w:r>
        <w:rPr>
          <w:rFonts w:ascii="Calibri" w:hAnsi="Calibri" w:cs="Arial"/>
          <w:szCs w:val="24"/>
        </w:rPr>
        <w:t xml:space="preserve">expenditure incurred not already reflected above, including any Sunday school, youth, Bible Study, and worship costs.  </w:t>
      </w:r>
    </w:p>
    <w:p w14:paraId="2A85E7B7"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Land and buildings</w:t>
      </w:r>
    </w:p>
    <w:p w14:paraId="6E171E6F" w14:textId="1B46B013"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Land and </w:t>
      </w:r>
      <w:r>
        <w:rPr>
          <w:rFonts w:ascii="Calibri" w:hAnsi="Calibri" w:cs="Arial"/>
          <w:szCs w:val="24"/>
        </w:rPr>
        <w:t>p</w:t>
      </w:r>
      <w:r w:rsidRPr="00875E90">
        <w:rPr>
          <w:rFonts w:ascii="Calibri" w:hAnsi="Calibri" w:cs="Arial"/>
          <w:szCs w:val="24"/>
        </w:rPr>
        <w:t>roperty</w:t>
      </w:r>
      <w:r>
        <w:rPr>
          <w:rFonts w:ascii="Calibri" w:hAnsi="Calibri" w:cs="Arial"/>
          <w:szCs w:val="24"/>
        </w:rPr>
        <w:t xml:space="preserve"> </w:t>
      </w:r>
      <w:r w:rsidRPr="00875E90">
        <w:rPr>
          <w:rFonts w:ascii="Calibri" w:hAnsi="Calibri" w:cs="Arial"/>
          <w:szCs w:val="24"/>
        </w:rPr>
        <w:t xml:space="preserve">owned and operated by the Church, excluding investment </w:t>
      </w:r>
      <w:r w:rsidRPr="005415B9">
        <w:rPr>
          <w:rFonts w:ascii="Calibri" w:hAnsi="Calibri" w:cs="Arial"/>
          <w:szCs w:val="24"/>
        </w:rPr>
        <w:t>property.</w:t>
      </w:r>
      <w:r w:rsidRPr="00875E90">
        <w:rPr>
          <w:rFonts w:ascii="Calibri" w:hAnsi="Calibri" w:cs="Arial"/>
          <w:szCs w:val="24"/>
        </w:rPr>
        <w:t xml:space="preserve"> </w:t>
      </w:r>
      <w:r>
        <w:rPr>
          <w:rFonts w:ascii="Calibri" w:hAnsi="Calibri" w:cs="Arial"/>
          <w:szCs w:val="24"/>
        </w:rPr>
        <w:t xml:space="preserve">A market valuation (Quotable Value) of building is preferred but if this is not available, a Rateable Valuation (RV) is acceptable. Do not use the insurance valuations for recording the value of buildings as these cover buildings only, not land. </w:t>
      </w:r>
      <w:r w:rsidRPr="00875E90">
        <w:rPr>
          <w:rFonts w:ascii="Calibri" w:hAnsi="Calibri" w:cs="Arial"/>
          <w:szCs w:val="24"/>
        </w:rPr>
        <w:t xml:space="preserve">The entry </w:t>
      </w:r>
      <w:r>
        <w:rPr>
          <w:rFonts w:ascii="Calibri" w:hAnsi="Calibri" w:cs="Arial"/>
          <w:szCs w:val="24"/>
        </w:rPr>
        <w:t xml:space="preserve">should </w:t>
      </w:r>
      <w:r w:rsidRPr="00875E90">
        <w:rPr>
          <w:rFonts w:ascii="Calibri" w:hAnsi="Calibri" w:cs="Arial"/>
          <w:szCs w:val="24"/>
        </w:rPr>
        <w:t xml:space="preserve">include the value of any mortgaged property.  </w:t>
      </w:r>
    </w:p>
    <w:p w14:paraId="07F7890E" w14:textId="0B83CA22"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Fixed assets</w:t>
      </w:r>
    </w:p>
    <w:p w14:paraId="3E5193F6" w14:textId="3D161D4A"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All capitalised and depreciating assets (motor vehicles, computer equipment, furniture, and fittings). Valuation is at net book value (cost less accumulation depreciation)</w:t>
      </w:r>
      <w:r>
        <w:rPr>
          <w:rFonts w:ascii="Calibri" w:hAnsi="Calibri" w:cs="Arial"/>
          <w:szCs w:val="24"/>
        </w:rPr>
        <w:t>.</w:t>
      </w:r>
    </w:p>
    <w:p w14:paraId="5AA60ED8" w14:textId="23774DAD"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Cash and investments</w:t>
      </w:r>
    </w:p>
    <w:p w14:paraId="2F946370" w14:textId="31876810"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Cash accounts and investments at balance date</w:t>
      </w:r>
      <w:r>
        <w:rPr>
          <w:rFonts w:ascii="Calibri" w:hAnsi="Calibri" w:cs="Arial"/>
          <w:szCs w:val="24"/>
        </w:rPr>
        <w:t>, including</w:t>
      </w:r>
      <w:r w:rsidRPr="00875E90">
        <w:rPr>
          <w:rFonts w:ascii="Calibri" w:hAnsi="Calibri" w:cs="Arial"/>
          <w:szCs w:val="24"/>
        </w:rPr>
        <w:t xml:space="preserve"> deposits in the Presbyterian Investment Fund</w:t>
      </w:r>
      <w:r>
        <w:rPr>
          <w:rFonts w:ascii="Calibri" w:hAnsi="Calibri" w:cs="Arial"/>
          <w:szCs w:val="24"/>
        </w:rPr>
        <w:t xml:space="preserve"> and</w:t>
      </w:r>
      <w:r w:rsidRPr="00875E90">
        <w:rPr>
          <w:rFonts w:ascii="Calibri" w:hAnsi="Calibri" w:cs="Arial"/>
          <w:szCs w:val="24"/>
        </w:rPr>
        <w:t xml:space="preserve"> other financial institutions</w:t>
      </w:r>
      <w:r>
        <w:rPr>
          <w:rFonts w:ascii="Calibri" w:hAnsi="Calibri" w:cs="Arial"/>
          <w:szCs w:val="24"/>
        </w:rPr>
        <w:t>,</w:t>
      </w:r>
      <w:r w:rsidRPr="00875E90">
        <w:rPr>
          <w:rFonts w:ascii="Calibri" w:hAnsi="Calibri" w:cs="Arial"/>
          <w:szCs w:val="24"/>
        </w:rPr>
        <w:t xml:space="preserve"> shares</w:t>
      </w:r>
      <w:r>
        <w:rPr>
          <w:rFonts w:ascii="Calibri" w:hAnsi="Calibri" w:cs="Arial"/>
          <w:szCs w:val="24"/>
        </w:rPr>
        <w:t xml:space="preserve">, and </w:t>
      </w:r>
      <w:r w:rsidRPr="00875E90">
        <w:rPr>
          <w:rFonts w:ascii="Calibri" w:hAnsi="Calibri" w:cs="Arial"/>
          <w:szCs w:val="24"/>
        </w:rPr>
        <w:t xml:space="preserve">the rateable value </w:t>
      </w:r>
      <w:r>
        <w:rPr>
          <w:rFonts w:ascii="Calibri" w:hAnsi="Calibri" w:cs="Arial"/>
          <w:szCs w:val="24"/>
        </w:rPr>
        <w:t xml:space="preserve">of </w:t>
      </w:r>
      <w:r w:rsidRPr="00875E90">
        <w:rPr>
          <w:rFonts w:ascii="Calibri" w:hAnsi="Calibri" w:cs="Arial"/>
          <w:szCs w:val="24"/>
        </w:rPr>
        <w:t xml:space="preserve">any investment property owned by the </w:t>
      </w:r>
      <w:r>
        <w:rPr>
          <w:rFonts w:ascii="Calibri" w:hAnsi="Calibri" w:cs="Arial"/>
          <w:szCs w:val="24"/>
        </w:rPr>
        <w:t>c</w:t>
      </w:r>
      <w:r w:rsidRPr="00875E90">
        <w:rPr>
          <w:rFonts w:ascii="Calibri" w:hAnsi="Calibri" w:cs="Arial"/>
          <w:szCs w:val="24"/>
        </w:rPr>
        <w:t xml:space="preserve">hurch for the purpose of </w:t>
      </w:r>
      <w:r>
        <w:rPr>
          <w:rFonts w:ascii="Calibri" w:hAnsi="Calibri" w:cs="Arial"/>
          <w:szCs w:val="24"/>
        </w:rPr>
        <w:t>generating income.</w:t>
      </w:r>
    </w:p>
    <w:p w14:paraId="6AB799E6"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Accounts receivable</w:t>
      </w:r>
    </w:p>
    <w:p w14:paraId="20980112"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 xml:space="preserve">Loans and accounts owed to the </w:t>
      </w:r>
      <w:r>
        <w:rPr>
          <w:rFonts w:ascii="Calibri" w:hAnsi="Calibri" w:cs="Arial"/>
          <w:szCs w:val="24"/>
        </w:rPr>
        <w:t>c</w:t>
      </w:r>
      <w:r w:rsidRPr="00875E90">
        <w:rPr>
          <w:rFonts w:ascii="Calibri" w:hAnsi="Calibri" w:cs="Arial"/>
          <w:szCs w:val="24"/>
        </w:rPr>
        <w:t>hurch at balance date</w:t>
      </w:r>
      <w:r>
        <w:rPr>
          <w:rFonts w:ascii="Calibri" w:hAnsi="Calibri" w:cs="Arial"/>
          <w:szCs w:val="24"/>
        </w:rPr>
        <w:t>.</w:t>
      </w:r>
    </w:p>
    <w:p w14:paraId="026DD454"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Liabilities</w:t>
      </w:r>
    </w:p>
    <w:p w14:paraId="4A774440" w14:textId="77777777" w:rsidR="00CC504A" w:rsidRPr="00875E90" w:rsidRDefault="00CC504A" w:rsidP="00CC504A">
      <w:pPr>
        <w:pStyle w:val="BodyText"/>
        <w:tabs>
          <w:tab w:val="left" w:pos="284"/>
        </w:tabs>
        <w:spacing w:after="200"/>
        <w:ind w:left="-284" w:right="-613"/>
        <w:jc w:val="both"/>
        <w:rPr>
          <w:rFonts w:ascii="Calibri" w:hAnsi="Calibri" w:cs="Arial"/>
          <w:szCs w:val="24"/>
        </w:rPr>
      </w:pPr>
      <w:r w:rsidRPr="00875E90">
        <w:rPr>
          <w:rFonts w:ascii="Calibri" w:hAnsi="Calibri" w:cs="Arial"/>
          <w:szCs w:val="24"/>
        </w:rPr>
        <w:t>Any amounts owed to third parties at balance date</w:t>
      </w:r>
      <w:r>
        <w:rPr>
          <w:rFonts w:ascii="Calibri" w:hAnsi="Calibri" w:cs="Arial"/>
          <w:szCs w:val="24"/>
        </w:rPr>
        <w:t xml:space="preserve">, including </w:t>
      </w:r>
      <w:r w:rsidRPr="00875E90">
        <w:rPr>
          <w:rFonts w:ascii="Calibri" w:hAnsi="Calibri" w:cs="Arial"/>
          <w:szCs w:val="24"/>
        </w:rPr>
        <w:t>accounts payable</w:t>
      </w:r>
      <w:r>
        <w:rPr>
          <w:rFonts w:ascii="Calibri" w:hAnsi="Calibri" w:cs="Arial"/>
          <w:szCs w:val="24"/>
        </w:rPr>
        <w:t xml:space="preserve">, </w:t>
      </w:r>
      <w:r w:rsidRPr="00875E90">
        <w:rPr>
          <w:rFonts w:ascii="Calibri" w:hAnsi="Calibri" w:cs="Arial"/>
          <w:szCs w:val="24"/>
        </w:rPr>
        <w:t>creditors, commitments, loans, and mortgages</w:t>
      </w:r>
      <w:r>
        <w:rPr>
          <w:rFonts w:ascii="Calibri" w:hAnsi="Calibri" w:cs="Arial"/>
          <w:szCs w:val="24"/>
        </w:rPr>
        <w:t>.</w:t>
      </w:r>
    </w:p>
    <w:p w14:paraId="5C822BC2" w14:textId="77777777" w:rsidR="00CC504A" w:rsidRPr="003D4E6E" w:rsidRDefault="00CC504A" w:rsidP="00CC504A">
      <w:pPr>
        <w:pStyle w:val="BodyText"/>
        <w:numPr>
          <w:ilvl w:val="0"/>
          <w:numId w:val="1"/>
        </w:numPr>
        <w:tabs>
          <w:tab w:val="left" w:pos="284"/>
        </w:tabs>
        <w:spacing w:after="60"/>
        <w:ind w:left="-284" w:right="-613" w:firstLine="0"/>
        <w:jc w:val="both"/>
        <w:rPr>
          <w:rFonts w:ascii="Abadi" w:hAnsi="Abadi" w:cs="Arial"/>
          <w:b/>
          <w:sz w:val="24"/>
          <w:szCs w:val="28"/>
          <w:u w:val="single"/>
        </w:rPr>
      </w:pPr>
      <w:r w:rsidRPr="003D4E6E">
        <w:rPr>
          <w:rFonts w:ascii="Abadi" w:hAnsi="Abadi" w:cs="Arial"/>
          <w:b/>
          <w:sz w:val="24"/>
          <w:szCs w:val="28"/>
          <w:u w:val="single"/>
        </w:rPr>
        <w:t>Equity</w:t>
      </w:r>
    </w:p>
    <w:p w14:paraId="08D5A086" w14:textId="77777777" w:rsidR="00CC504A" w:rsidRDefault="00CC504A" w:rsidP="00CC504A">
      <w:pPr>
        <w:tabs>
          <w:tab w:val="left" w:pos="284"/>
        </w:tabs>
        <w:ind w:left="-284" w:right="-613"/>
        <w:jc w:val="both"/>
      </w:pPr>
      <w:r w:rsidRPr="00875E90">
        <w:rPr>
          <w:rFonts w:ascii="Calibri" w:hAnsi="Calibri" w:cs="Arial"/>
          <w:szCs w:val="24"/>
        </w:rPr>
        <w:t xml:space="preserve">This is an accounting entry and is the </w:t>
      </w:r>
      <w:r>
        <w:rPr>
          <w:rFonts w:ascii="Calibri" w:hAnsi="Calibri" w:cs="Arial"/>
          <w:szCs w:val="24"/>
        </w:rPr>
        <w:t xml:space="preserve">difference </w:t>
      </w:r>
      <w:r w:rsidRPr="00875E90">
        <w:rPr>
          <w:rFonts w:ascii="Calibri" w:hAnsi="Calibri" w:cs="Arial"/>
          <w:szCs w:val="24"/>
        </w:rPr>
        <w:t>between total assets and liabilities.</w:t>
      </w:r>
    </w:p>
    <w:p w14:paraId="067BEF81" w14:textId="77777777" w:rsidR="00CC504A" w:rsidRDefault="00CC504A" w:rsidP="00CC504A">
      <w:pPr>
        <w:pStyle w:val="04xlpa"/>
        <w:jc w:val="both"/>
        <w:rPr>
          <w:rFonts w:asciiTheme="minorHAnsi" w:hAnsiTheme="minorHAnsi" w:cstheme="minorHAnsi"/>
          <w:b/>
          <w:bCs/>
        </w:rPr>
      </w:pPr>
    </w:p>
    <w:p w14:paraId="5B9FCB87" w14:textId="77777777" w:rsidR="00CC504A" w:rsidRDefault="00CC504A" w:rsidP="00CC504A">
      <w:pPr>
        <w:pStyle w:val="04xlpa"/>
        <w:jc w:val="both"/>
        <w:rPr>
          <w:rFonts w:asciiTheme="minorHAnsi" w:hAnsiTheme="minorHAnsi" w:cstheme="minorHAnsi"/>
          <w:b/>
          <w:bCs/>
        </w:rPr>
      </w:pPr>
    </w:p>
    <w:p w14:paraId="1C4FE591" w14:textId="77777777" w:rsidR="00CC504A" w:rsidRDefault="00CC504A" w:rsidP="00CC504A">
      <w:pPr>
        <w:pStyle w:val="04xlpa"/>
        <w:jc w:val="center"/>
        <w:rPr>
          <w:rFonts w:ascii="Abadi" w:hAnsi="Abadi"/>
          <w:sz w:val="44"/>
          <w:szCs w:val="44"/>
        </w:rPr>
      </w:pPr>
    </w:p>
    <w:p w14:paraId="662DCFE7" w14:textId="77777777" w:rsidR="00002397" w:rsidRDefault="00002397"/>
    <w:sectPr w:rsidR="00002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56279"/>
    <w:multiLevelType w:val="hybridMultilevel"/>
    <w:tmpl w:val="A35201EC"/>
    <w:lvl w:ilvl="0" w:tplc="1409000F">
      <w:start w:val="1"/>
      <w:numFmt w:val="decimal"/>
      <w:lvlText w:val="%1."/>
      <w:lvlJc w:val="left"/>
      <w:pPr>
        <w:ind w:left="644" w:hanging="360"/>
      </w:pPr>
    </w:lvl>
    <w:lvl w:ilvl="1" w:tplc="ECDA0A54">
      <w:start w:val="1"/>
      <w:numFmt w:val="lowerLetter"/>
      <w:lvlText w:val="%2."/>
      <w:lvlJc w:val="left"/>
      <w:pPr>
        <w:ind w:left="1440" w:hanging="360"/>
      </w:pPr>
      <w:rPr>
        <w:b/>
        <w:sz w:val="24"/>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762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4A"/>
    <w:rsid w:val="00002397"/>
    <w:rsid w:val="0049731C"/>
    <w:rsid w:val="00797363"/>
    <w:rsid w:val="00B50EEC"/>
    <w:rsid w:val="00CC50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81E2"/>
  <w15:chartTrackingRefBased/>
  <w15:docId w15:val="{736E1AA8-94A1-4D86-B60A-FA81E740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CC50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odyText">
    <w:name w:val="Body Text"/>
    <w:basedOn w:val="Normal"/>
    <w:link w:val="BodyTextChar"/>
    <w:uiPriority w:val="99"/>
    <w:unhideWhenUsed/>
    <w:rsid w:val="00CC504A"/>
    <w:pPr>
      <w:spacing w:after="120" w:line="276" w:lineRule="auto"/>
    </w:pPr>
    <w:rPr>
      <w:rFonts w:ascii="Arial" w:hAnsi="Arial" w:cs="Times New Roman"/>
      <w:szCs w:val="20"/>
      <w:lang w:val="en-GB" w:eastAsia="en-NZ"/>
    </w:rPr>
  </w:style>
  <w:style w:type="character" w:customStyle="1" w:styleId="BodyTextChar">
    <w:name w:val="Body Text Char"/>
    <w:basedOn w:val="DefaultParagraphFont"/>
    <w:link w:val="BodyText"/>
    <w:uiPriority w:val="99"/>
    <w:rsid w:val="00CC504A"/>
    <w:rPr>
      <w:rFonts w:ascii="Arial" w:hAnsi="Arial" w:cs="Times New Roman"/>
      <w:szCs w:val="20"/>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855d3-fb0a-457d-868e-8fdae8bf6f8c">
      <Terms xmlns="http://schemas.microsoft.com/office/infopath/2007/PartnerControls"/>
    </lcf76f155ced4ddcb4097134ff3c332f>
    <TaxCatchAll xmlns="d3c68722-81ea-4489-b930-3d181f552d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98E98C7BBB6D4B9DA9762E7CB3E732" ma:contentTypeVersion="16" ma:contentTypeDescription="Create a new document." ma:contentTypeScope="" ma:versionID="4467796512c0045e8bca0af8b70351d8">
  <xsd:schema xmlns:xsd="http://www.w3.org/2001/XMLSchema" xmlns:xs="http://www.w3.org/2001/XMLSchema" xmlns:p="http://schemas.microsoft.com/office/2006/metadata/properties" xmlns:ns2="d3c68722-81ea-4489-b930-3d181f552d7d" xmlns:ns3="7a1855d3-fb0a-457d-868e-8fdae8bf6f8c" targetNamespace="http://schemas.microsoft.com/office/2006/metadata/properties" ma:root="true" ma:fieldsID="dd90cd98df908ac9673f96b5f03ddd36" ns2:_="" ns3:_="">
    <xsd:import namespace="d3c68722-81ea-4489-b930-3d181f552d7d"/>
    <xsd:import namespace="7a1855d3-fb0a-457d-868e-8fdae8bf6f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68722-81ea-4489-b930-3d181f552d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dfd7f7-8ace-491a-9e72-ccbae9d8b0d0}" ma:internalName="TaxCatchAll" ma:showField="CatchAllData" ma:web="d3c68722-81ea-4489-b930-3d181f552d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855d3-fb0a-457d-868e-8fdae8bf6f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1518A-62FF-4F6E-9955-965A118AA22D}">
  <ds:schemaRefs>
    <ds:schemaRef ds:uri="http://schemas.microsoft.com/office/2006/metadata/properties"/>
    <ds:schemaRef ds:uri="http://schemas.microsoft.com/office/infopath/2007/PartnerControls"/>
    <ds:schemaRef ds:uri="7a1855d3-fb0a-457d-868e-8fdae8bf6f8c"/>
    <ds:schemaRef ds:uri="d3c68722-81ea-4489-b930-3d181f552d7d"/>
  </ds:schemaRefs>
</ds:datastoreItem>
</file>

<file path=customXml/itemProps2.xml><?xml version="1.0" encoding="utf-8"?>
<ds:datastoreItem xmlns:ds="http://schemas.openxmlformats.org/officeDocument/2006/customXml" ds:itemID="{D057229F-35D5-4F1E-9272-4C6D72AA724B}">
  <ds:schemaRefs>
    <ds:schemaRef ds:uri="http://schemas.microsoft.com/sharepoint/v3/contenttype/forms"/>
  </ds:schemaRefs>
</ds:datastoreItem>
</file>

<file path=customXml/itemProps3.xml><?xml version="1.0" encoding="utf-8"?>
<ds:datastoreItem xmlns:ds="http://schemas.openxmlformats.org/officeDocument/2006/customXml" ds:itemID="{80B01133-4090-4D9C-84DE-1AC15614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68722-81ea-4489-b930-3d181f552d7d"/>
    <ds:schemaRef ds:uri="7a1855d3-fb0a-457d-868e-8fdae8bf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Graham</dc:creator>
  <cp:keywords/>
  <dc:description/>
  <cp:lastModifiedBy>Katrina Graham</cp:lastModifiedBy>
  <cp:revision>4</cp:revision>
  <cp:lastPrinted>2023-05-09T00:00:00Z</cp:lastPrinted>
  <dcterms:created xsi:type="dcterms:W3CDTF">2023-05-08T23:58:00Z</dcterms:created>
  <dcterms:modified xsi:type="dcterms:W3CDTF">2023-05-09T00:06:00Z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0x0101009198E98C7BBB6D4B9DA9762E7CB3E732</vt:lpwstr>
  </property>
  <property fmtid="{D5CDD505-2E9C-101B-9397-08002B2CF9AE}" pid="3" name="MediaServiceImageTags">
    <vt:lpwstr/>
  </property>
</Properties>
</file>